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扬州泰州国际机场道路视频监控</w:t>
      </w:r>
      <w:r>
        <w:rPr>
          <w:rFonts w:hint="eastAsia" w:ascii="方正小标宋简体" w:hAnsi="方正小标宋简体" w:eastAsia="方正小标宋简体" w:cs="方正小标宋简体"/>
          <w:w w:val="90"/>
          <w:sz w:val="44"/>
          <w:szCs w:val="44"/>
          <w:lang w:eastAsia="zh-CN"/>
        </w:rPr>
        <w:t>维修</w:t>
      </w:r>
      <w:r>
        <w:rPr>
          <w:rFonts w:hint="eastAsia" w:ascii="方正小标宋简体" w:hAnsi="方正小标宋简体" w:eastAsia="方正小标宋简体" w:cs="方正小标宋简体"/>
          <w:w w:val="90"/>
          <w:sz w:val="44"/>
          <w:szCs w:val="44"/>
        </w:rPr>
        <w:t>维保项目</w:t>
      </w:r>
    </w:p>
    <w:p>
      <w:pPr>
        <w:spacing w:line="360" w:lineRule="auto"/>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招标文件</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为规范流程、节约建设成本。扬州泰州国际机场将对道路视频监控</w:t>
      </w:r>
      <w:r>
        <w:rPr>
          <w:rFonts w:hint="eastAsia"/>
          <w:sz w:val="24"/>
          <w:szCs w:val="24"/>
          <w:lang w:eastAsia="zh-CN"/>
        </w:rPr>
        <w:t>维修</w:t>
      </w:r>
      <w:r>
        <w:rPr>
          <w:rFonts w:hint="eastAsia"/>
          <w:sz w:val="24"/>
          <w:szCs w:val="24"/>
        </w:rPr>
        <w:t>维保项目进行自主招标，兹邀请符合本次评标要求的投标人参加投标。</w:t>
      </w:r>
    </w:p>
    <w:p>
      <w:pPr>
        <w:spacing w:line="360" w:lineRule="auto"/>
        <w:rPr>
          <w:b/>
          <w:bCs/>
          <w:sz w:val="24"/>
          <w:szCs w:val="24"/>
        </w:rPr>
      </w:pPr>
      <w:r>
        <w:rPr>
          <w:rFonts w:hint="eastAsia"/>
          <w:b/>
          <w:bCs/>
          <w:sz w:val="24"/>
          <w:szCs w:val="24"/>
        </w:rPr>
        <w:t>一、招标项目名称：</w:t>
      </w:r>
    </w:p>
    <w:p>
      <w:pPr>
        <w:spacing w:line="360" w:lineRule="auto"/>
        <w:ind w:firstLine="480" w:firstLineChars="200"/>
        <w:rPr>
          <w:sz w:val="24"/>
          <w:szCs w:val="24"/>
        </w:rPr>
      </w:pPr>
      <w:r>
        <w:rPr>
          <w:rFonts w:hint="eastAsia"/>
          <w:sz w:val="24"/>
          <w:szCs w:val="24"/>
        </w:rPr>
        <w:t>项目名称：扬州泰州国际机场道路视频监控</w:t>
      </w:r>
      <w:r>
        <w:rPr>
          <w:rFonts w:hint="eastAsia"/>
          <w:sz w:val="24"/>
          <w:szCs w:val="24"/>
          <w:lang w:eastAsia="zh-CN"/>
        </w:rPr>
        <w:t>维修</w:t>
      </w:r>
      <w:r>
        <w:rPr>
          <w:rFonts w:hint="eastAsia"/>
          <w:sz w:val="24"/>
          <w:szCs w:val="24"/>
        </w:rPr>
        <w:t xml:space="preserve">维保项目     </w:t>
      </w:r>
    </w:p>
    <w:p>
      <w:pPr>
        <w:spacing w:line="360" w:lineRule="auto"/>
        <w:ind w:firstLine="480" w:firstLineChars="200"/>
        <w:rPr>
          <w:rFonts w:hint="eastAsia"/>
          <w:sz w:val="24"/>
          <w:szCs w:val="24"/>
        </w:rPr>
      </w:pPr>
      <w:r>
        <w:rPr>
          <w:rFonts w:hint="eastAsia"/>
          <w:sz w:val="24"/>
          <w:szCs w:val="24"/>
        </w:rPr>
        <w:t>控制价： 道路视频监控系统维修改造：2</w:t>
      </w:r>
      <w:r>
        <w:rPr>
          <w:sz w:val="24"/>
          <w:szCs w:val="24"/>
        </w:rPr>
        <w:t>0</w:t>
      </w:r>
      <w:r>
        <w:rPr>
          <w:rFonts w:hint="eastAsia"/>
          <w:sz w:val="24"/>
          <w:szCs w:val="24"/>
        </w:rPr>
        <w:t>万元（含税金、设备、运输、施工、安装调试等完成该项目的所有费用及质保）。</w:t>
      </w:r>
    </w:p>
    <w:p>
      <w:pPr>
        <w:spacing w:line="360" w:lineRule="auto"/>
        <w:ind w:firstLine="480" w:firstLineChars="200"/>
        <w:rPr>
          <w:sz w:val="24"/>
          <w:szCs w:val="24"/>
        </w:rPr>
      </w:pPr>
      <w:r>
        <w:rPr>
          <w:rFonts w:hint="eastAsia"/>
          <w:sz w:val="24"/>
          <w:szCs w:val="24"/>
        </w:rPr>
        <w:t>为期两年的维保：3万元/年</w:t>
      </w:r>
      <w:r>
        <w:rPr>
          <w:rFonts w:hint="eastAsia"/>
          <w:sz w:val="24"/>
          <w:szCs w:val="24"/>
          <w:lang w:val="en-US" w:eastAsia="zh-CN"/>
        </w:rPr>
        <w:t>：</w:t>
      </w:r>
      <w:r>
        <w:rPr>
          <w:rFonts w:hint="eastAsia"/>
          <w:sz w:val="24"/>
          <w:szCs w:val="24"/>
        </w:rPr>
        <w:t>包括机场道路视频监控全系统的日常维护、定期保养、维修</w:t>
      </w:r>
      <w:r>
        <w:rPr>
          <w:rFonts w:hint="eastAsia"/>
          <w:sz w:val="24"/>
          <w:szCs w:val="24"/>
          <w:lang w:eastAsia="zh-CN"/>
        </w:rPr>
        <w:t>，配件更换（包</w:t>
      </w:r>
      <w:r>
        <w:rPr>
          <w:rFonts w:hint="eastAsia"/>
          <w:sz w:val="24"/>
          <w:szCs w:val="24"/>
        </w:rPr>
        <w:t>含前端箱体内配件</w:t>
      </w:r>
      <w:r>
        <w:rPr>
          <w:rFonts w:hint="eastAsia"/>
          <w:sz w:val="24"/>
          <w:szCs w:val="24"/>
          <w:lang w:eastAsia="zh-CN"/>
        </w:rPr>
        <w:t>更换</w:t>
      </w:r>
      <w:r>
        <w:rPr>
          <w:rFonts w:hint="eastAsia"/>
          <w:sz w:val="24"/>
          <w:szCs w:val="24"/>
        </w:rPr>
        <w:t>如：摄像机电源，箱体内的交换机，各类网络、光纤跳线（长度不超过10米）等</w:t>
      </w:r>
      <w:r>
        <w:rPr>
          <w:rFonts w:hint="eastAsia"/>
          <w:sz w:val="24"/>
          <w:szCs w:val="24"/>
          <w:lang w:eastAsia="zh-CN"/>
        </w:rPr>
        <w:t>，</w:t>
      </w:r>
      <w:r>
        <w:rPr>
          <w:rFonts w:hint="eastAsia"/>
          <w:sz w:val="24"/>
          <w:szCs w:val="24"/>
        </w:rPr>
        <w:t>不包含摄像头及其后端设备</w:t>
      </w:r>
      <w:r>
        <w:rPr>
          <w:rFonts w:hint="eastAsia"/>
          <w:sz w:val="24"/>
          <w:szCs w:val="24"/>
          <w:lang w:eastAsia="zh-CN"/>
        </w:rPr>
        <w:t>的损坏更换）</w:t>
      </w:r>
      <w:r>
        <w:rPr>
          <w:rFonts w:hint="eastAsia"/>
          <w:sz w:val="24"/>
          <w:szCs w:val="24"/>
        </w:rPr>
        <w:t>、保障监控系统正常运转。</w:t>
      </w:r>
    </w:p>
    <w:p>
      <w:pPr>
        <w:spacing w:line="360" w:lineRule="auto"/>
        <w:ind w:firstLine="480" w:firstLineChars="200"/>
        <w:rPr>
          <w:sz w:val="24"/>
          <w:szCs w:val="24"/>
        </w:rPr>
      </w:pPr>
      <w:r>
        <w:rPr>
          <w:rFonts w:hint="eastAsia"/>
          <w:sz w:val="24"/>
          <w:szCs w:val="24"/>
        </w:rPr>
        <w:t>供货安装周期：合同签订</w:t>
      </w:r>
      <w:r>
        <w:rPr>
          <w:sz w:val="24"/>
          <w:szCs w:val="24"/>
        </w:rPr>
        <w:t>7</w:t>
      </w:r>
      <w:r>
        <w:rPr>
          <w:rFonts w:hint="eastAsia"/>
          <w:sz w:val="24"/>
          <w:szCs w:val="24"/>
        </w:rPr>
        <w:t>日内，根据合同要求，将项目所需货物送至招标人指定地点。并于</w:t>
      </w:r>
      <w:r>
        <w:rPr>
          <w:sz w:val="24"/>
          <w:szCs w:val="24"/>
        </w:rPr>
        <w:t>30</w:t>
      </w:r>
      <w:r>
        <w:rPr>
          <w:rFonts w:hint="eastAsia"/>
          <w:sz w:val="24"/>
          <w:szCs w:val="24"/>
        </w:rPr>
        <w:t>日内完成安装调试工作。</w:t>
      </w:r>
    </w:p>
    <w:p>
      <w:pPr>
        <w:spacing w:line="360" w:lineRule="auto"/>
        <w:rPr>
          <w:rFonts w:eastAsia="黑体"/>
          <w:b/>
          <w:bCs/>
          <w:sz w:val="24"/>
          <w:szCs w:val="24"/>
        </w:rPr>
      </w:pPr>
      <w:r>
        <w:rPr>
          <w:rFonts w:hint="eastAsia"/>
          <w:b/>
          <w:bCs/>
          <w:sz w:val="24"/>
          <w:szCs w:val="24"/>
        </w:rPr>
        <w:t>二、</w:t>
      </w:r>
      <w:r>
        <w:rPr>
          <w:rFonts w:hint="eastAsia" w:ascii="黑体" w:hAnsi="黑体" w:eastAsia="黑体" w:cs="黑体"/>
          <w:b/>
          <w:bCs/>
          <w:sz w:val="24"/>
          <w:szCs w:val="24"/>
        </w:rPr>
        <w:t>合格投标人资格要求：</w:t>
      </w:r>
    </w:p>
    <w:p>
      <w:pPr>
        <w:spacing w:line="360" w:lineRule="auto"/>
        <w:rPr>
          <w:sz w:val="24"/>
          <w:szCs w:val="24"/>
        </w:rPr>
      </w:pPr>
      <w:r>
        <w:rPr>
          <w:sz w:val="24"/>
          <w:szCs w:val="24"/>
        </w:rPr>
        <w:t xml:space="preserve">    </w:t>
      </w:r>
      <w:r>
        <w:rPr>
          <w:rFonts w:hint="eastAsia"/>
          <w:sz w:val="24"/>
          <w:szCs w:val="24"/>
        </w:rPr>
        <w:t>1、投标人须为注册资本不小于10万元人民币的独立法人。（提供营业执照复印件并加盖公章，原件备查）</w:t>
      </w:r>
    </w:p>
    <w:p>
      <w:pPr>
        <w:spacing w:line="360" w:lineRule="auto"/>
        <w:rPr>
          <w:sz w:val="24"/>
          <w:szCs w:val="24"/>
        </w:rPr>
      </w:pPr>
      <w:r>
        <w:rPr>
          <w:rFonts w:hint="eastAsia"/>
          <w:sz w:val="24"/>
          <w:szCs w:val="24"/>
        </w:rPr>
        <w:t>　　2、财务要求：投标人企业财务和经营状况良好，具备履行合同能力，近三年（201</w:t>
      </w:r>
      <w:r>
        <w:rPr>
          <w:sz w:val="24"/>
          <w:szCs w:val="24"/>
        </w:rPr>
        <w:t>9</w:t>
      </w:r>
      <w:r>
        <w:rPr>
          <w:rFonts w:hint="eastAsia"/>
          <w:sz w:val="24"/>
          <w:szCs w:val="24"/>
        </w:rPr>
        <w:t>年1月1日至投标截止日）无不良经营行为，提供相应内容的承诺书。</w:t>
      </w:r>
    </w:p>
    <w:p>
      <w:pPr>
        <w:spacing w:line="360" w:lineRule="auto"/>
        <w:rPr>
          <w:sz w:val="24"/>
          <w:szCs w:val="24"/>
        </w:rPr>
      </w:pPr>
      <w:r>
        <w:rPr>
          <w:sz w:val="24"/>
          <w:szCs w:val="24"/>
        </w:rPr>
        <w:t xml:space="preserve">    </w:t>
      </w:r>
      <w:r>
        <w:rPr>
          <w:rFonts w:hint="eastAsia"/>
          <w:sz w:val="24"/>
          <w:szCs w:val="24"/>
        </w:rPr>
        <w:t>3、信誉要求：投标人近三年（2019年1月1日至投标截止日）没有骗取中标和严重违约行为，提供相应内容的承诺书。</w:t>
      </w:r>
    </w:p>
    <w:p>
      <w:pPr>
        <w:spacing w:line="360" w:lineRule="auto"/>
        <w:rPr>
          <w:sz w:val="24"/>
          <w:szCs w:val="24"/>
        </w:rPr>
      </w:pPr>
      <w:r>
        <w:rPr>
          <w:sz w:val="24"/>
          <w:szCs w:val="24"/>
        </w:rPr>
        <w:t xml:space="preserve">    4</w:t>
      </w:r>
      <w:r>
        <w:rPr>
          <w:rFonts w:hint="eastAsia"/>
          <w:sz w:val="24"/>
          <w:szCs w:val="24"/>
        </w:rPr>
        <w:t>、业绩要求：201</w:t>
      </w:r>
      <w:r>
        <w:rPr>
          <w:sz w:val="24"/>
          <w:szCs w:val="24"/>
        </w:rPr>
        <w:t>9</w:t>
      </w:r>
      <w:r>
        <w:rPr>
          <w:rFonts w:hint="eastAsia"/>
          <w:sz w:val="24"/>
          <w:szCs w:val="24"/>
        </w:rPr>
        <w:t>年9月以来（以合同签订的时间为准），投标人承担过类似工程</w:t>
      </w:r>
      <w:r>
        <w:rPr>
          <w:sz w:val="24"/>
          <w:szCs w:val="24"/>
        </w:rPr>
        <w:t>1</w:t>
      </w:r>
      <w:r>
        <w:rPr>
          <w:rFonts w:hint="eastAsia"/>
          <w:sz w:val="24"/>
          <w:szCs w:val="24"/>
        </w:rPr>
        <w:t>个以上。（提供合同及发票复印件加盖公章，二者缺一不可）</w:t>
      </w:r>
    </w:p>
    <w:p>
      <w:pPr>
        <w:spacing w:line="360" w:lineRule="auto"/>
        <w:rPr>
          <w:sz w:val="24"/>
          <w:szCs w:val="24"/>
        </w:rPr>
      </w:pPr>
      <w:r>
        <w:rPr>
          <w:rFonts w:hint="eastAsia"/>
          <w:sz w:val="24"/>
          <w:szCs w:val="24"/>
        </w:rPr>
        <w:t>　　</w:t>
      </w:r>
      <w:r>
        <w:rPr>
          <w:sz w:val="24"/>
          <w:szCs w:val="24"/>
        </w:rPr>
        <w:t>5</w:t>
      </w:r>
      <w:r>
        <w:rPr>
          <w:rFonts w:hint="eastAsia"/>
          <w:sz w:val="24"/>
          <w:szCs w:val="24"/>
        </w:rPr>
        <w:t>、本次招标不接受联合体投标。</w:t>
      </w:r>
    </w:p>
    <w:p>
      <w:pPr>
        <w:spacing w:line="360" w:lineRule="auto"/>
        <w:rPr>
          <w:b/>
          <w:bCs/>
          <w:sz w:val="24"/>
          <w:szCs w:val="24"/>
        </w:rPr>
      </w:pPr>
      <w:r>
        <w:rPr>
          <w:rFonts w:hint="eastAsia"/>
          <w:b/>
          <w:bCs/>
          <w:sz w:val="24"/>
          <w:szCs w:val="24"/>
        </w:rPr>
        <w:t>三、项目清单及评标办法：</w:t>
      </w:r>
    </w:p>
    <w:p>
      <w:pPr>
        <w:spacing w:line="360" w:lineRule="auto"/>
        <w:ind w:firstLine="480" w:firstLineChars="200"/>
        <w:rPr>
          <w:rFonts w:hint="eastAsia"/>
          <w:sz w:val="24"/>
          <w:szCs w:val="24"/>
        </w:rPr>
      </w:pPr>
      <w:r>
        <w:rPr>
          <w:rFonts w:hint="eastAsia"/>
          <w:sz w:val="24"/>
          <w:szCs w:val="24"/>
        </w:rPr>
        <w:t>（一）项目清单：</w:t>
      </w:r>
    </w:p>
    <w:p>
      <w:pPr>
        <w:pStyle w:val="2"/>
      </w:pPr>
    </w:p>
    <w:tbl>
      <w:tblPr>
        <w:tblStyle w:val="9"/>
        <w:tblW w:w="8985" w:type="dxa"/>
        <w:tblInd w:w="118" w:type="dxa"/>
        <w:tblLayout w:type="fixed"/>
        <w:tblCellMar>
          <w:top w:w="0" w:type="dxa"/>
          <w:left w:w="108" w:type="dxa"/>
          <w:bottom w:w="0" w:type="dxa"/>
          <w:right w:w="108" w:type="dxa"/>
        </w:tblCellMar>
      </w:tblPr>
      <w:tblGrid>
        <w:gridCol w:w="582"/>
        <w:gridCol w:w="1749"/>
        <w:gridCol w:w="3445"/>
        <w:gridCol w:w="581"/>
        <w:gridCol w:w="590"/>
        <w:gridCol w:w="697"/>
        <w:gridCol w:w="662"/>
        <w:gridCol w:w="679"/>
      </w:tblGrid>
      <w:tr>
        <w:tblPrEx>
          <w:tblLayout w:type="fixed"/>
          <w:tblCellMar>
            <w:top w:w="0" w:type="dxa"/>
            <w:left w:w="108" w:type="dxa"/>
            <w:bottom w:w="0" w:type="dxa"/>
            <w:right w:w="108" w:type="dxa"/>
          </w:tblCellMar>
        </w:tblPrEx>
        <w:trPr>
          <w:trHeight w:val="496" w:hRule="atLeast"/>
        </w:trPr>
        <w:tc>
          <w:tcPr>
            <w:tcW w:w="8985" w:type="dxa"/>
            <w:gridSpan w:val="8"/>
            <w:tcBorders>
              <w:top w:val="single" w:color="000000" w:sz="8" w:space="0"/>
              <w:left w:val="single" w:color="000000" w:sz="8" w:space="0"/>
              <w:bottom w:val="nil"/>
              <w:right w:val="single" w:color="000000" w:sz="4" w:space="0"/>
            </w:tcBorders>
            <w:shd w:val="clear" w:color="auto" w:fill="auto"/>
            <w:noWrap/>
            <w:vAlign w:val="center"/>
          </w:tcPr>
          <w:p>
            <w:pPr>
              <w:widowControl/>
              <w:jc w:val="center"/>
              <w:rPr>
                <w:rFonts w:ascii="宋体" w:hAnsi="宋体"/>
                <w:b/>
                <w:bCs/>
                <w:color w:val="000000"/>
                <w:kern w:val="0"/>
                <w:sz w:val="28"/>
                <w:szCs w:val="28"/>
              </w:rPr>
            </w:pPr>
            <w:r>
              <w:rPr>
                <w:rFonts w:hint="eastAsia" w:ascii="宋体" w:hAnsi="宋体"/>
                <w:b/>
                <w:bCs/>
                <w:color w:val="000000"/>
                <w:kern w:val="0"/>
                <w:sz w:val="28"/>
                <w:szCs w:val="28"/>
                <w:lang w:eastAsia="zh-CN"/>
              </w:rPr>
              <w:t>扬泰国际机场道路视频监控维修维保</w:t>
            </w:r>
            <w:r>
              <w:rPr>
                <w:rFonts w:hint="eastAsia" w:ascii="宋体" w:hAnsi="宋体"/>
                <w:b/>
                <w:bCs/>
                <w:color w:val="000000"/>
                <w:kern w:val="0"/>
                <w:sz w:val="28"/>
                <w:szCs w:val="28"/>
              </w:rPr>
              <w:t>项目</w:t>
            </w:r>
          </w:p>
        </w:tc>
      </w:tr>
      <w:tr>
        <w:tblPrEx>
          <w:tblLayout w:type="fixed"/>
          <w:tblCellMar>
            <w:top w:w="0" w:type="dxa"/>
            <w:left w:w="108" w:type="dxa"/>
            <w:bottom w:w="0" w:type="dxa"/>
            <w:right w:w="108" w:type="dxa"/>
          </w:tblCellMar>
        </w:tblPrEx>
        <w:trPr>
          <w:trHeight w:val="402" w:hRule="atLeast"/>
        </w:trPr>
        <w:tc>
          <w:tcPr>
            <w:tcW w:w="582" w:type="dxa"/>
            <w:tcBorders>
              <w:top w:val="single" w:color="000000" w:sz="8" w:space="0"/>
              <w:left w:val="single" w:color="000000" w:sz="8" w:space="0"/>
              <w:bottom w:val="single" w:color="000000" w:sz="4" w:space="0"/>
              <w:right w:val="single" w:color="000000" w:sz="4" w:space="0"/>
            </w:tcBorders>
            <w:shd w:val="clear" w:color="auto" w:fill="C0C0C0"/>
            <w:noWrap/>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序号</w:t>
            </w:r>
          </w:p>
        </w:tc>
        <w:tc>
          <w:tcPr>
            <w:tcW w:w="1749" w:type="dxa"/>
            <w:tcBorders>
              <w:top w:val="single" w:color="000000" w:sz="8" w:space="0"/>
              <w:left w:val="single" w:color="000000" w:sz="4" w:space="0"/>
              <w:bottom w:val="single" w:color="000000" w:sz="4" w:space="0"/>
              <w:right w:val="single" w:color="000000" w:sz="4" w:space="0"/>
            </w:tcBorders>
            <w:shd w:val="clear" w:color="auto" w:fill="C0C0C0"/>
            <w:noWrap/>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产品</w:t>
            </w:r>
          </w:p>
        </w:tc>
        <w:tc>
          <w:tcPr>
            <w:tcW w:w="3445" w:type="dxa"/>
            <w:tcBorders>
              <w:top w:val="single" w:color="000000" w:sz="8" w:space="0"/>
              <w:left w:val="single" w:color="000000" w:sz="4" w:space="0"/>
              <w:bottom w:val="single" w:color="000000" w:sz="4" w:space="0"/>
              <w:right w:val="single" w:color="000000" w:sz="4" w:space="0"/>
            </w:tcBorders>
            <w:shd w:val="clear" w:color="auto" w:fill="C0C0C0"/>
            <w:noWrap/>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产品描述</w:t>
            </w:r>
          </w:p>
        </w:tc>
        <w:tc>
          <w:tcPr>
            <w:tcW w:w="581" w:type="dxa"/>
            <w:tcBorders>
              <w:top w:val="single" w:color="000000" w:sz="8" w:space="0"/>
              <w:left w:val="single" w:color="000000" w:sz="4" w:space="0"/>
              <w:bottom w:val="single" w:color="000000" w:sz="4" w:space="0"/>
              <w:right w:val="single" w:color="000000" w:sz="4" w:space="0"/>
            </w:tcBorders>
            <w:shd w:val="clear" w:color="auto" w:fill="C0C0C0"/>
            <w:noWrap/>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单位</w:t>
            </w:r>
          </w:p>
        </w:tc>
        <w:tc>
          <w:tcPr>
            <w:tcW w:w="590" w:type="dxa"/>
            <w:tcBorders>
              <w:top w:val="single" w:color="000000" w:sz="8" w:space="0"/>
              <w:left w:val="single" w:color="000000" w:sz="4" w:space="0"/>
              <w:bottom w:val="single" w:color="000000" w:sz="4" w:space="0"/>
              <w:right w:val="single" w:color="000000" w:sz="4" w:space="0"/>
            </w:tcBorders>
            <w:shd w:val="clear" w:color="auto" w:fill="C0C0C0"/>
            <w:noWrap/>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数量</w:t>
            </w:r>
          </w:p>
        </w:tc>
        <w:tc>
          <w:tcPr>
            <w:tcW w:w="697" w:type="dxa"/>
            <w:tcBorders>
              <w:top w:val="single" w:color="000000" w:sz="8" w:space="0"/>
              <w:left w:val="single" w:color="000000" w:sz="4" w:space="0"/>
              <w:bottom w:val="single" w:color="000000" w:sz="4" w:space="0"/>
              <w:right w:val="single" w:color="000000" w:sz="4" w:space="0"/>
            </w:tcBorders>
            <w:shd w:val="clear" w:color="auto" w:fill="C0C0C0"/>
            <w:noWrap/>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 xml:space="preserve">单价 </w:t>
            </w:r>
          </w:p>
        </w:tc>
        <w:tc>
          <w:tcPr>
            <w:tcW w:w="662" w:type="dxa"/>
            <w:tcBorders>
              <w:top w:val="single" w:color="000000" w:sz="8" w:space="0"/>
              <w:left w:val="single" w:color="000000" w:sz="4" w:space="0"/>
              <w:bottom w:val="single" w:color="000000" w:sz="4" w:space="0"/>
              <w:right w:val="single" w:color="000000" w:sz="4" w:space="0"/>
            </w:tcBorders>
            <w:shd w:val="clear" w:color="auto" w:fill="C0C0C0"/>
            <w:noWrap/>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总价</w:t>
            </w:r>
          </w:p>
        </w:tc>
        <w:tc>
          <w:tcPr>
            <w:tcW w:w="679" w:type="dxa"/>
            <w:tcBorders>
              <w:top w:val="single" w:color="000000" w:sz="8" w:space="0"/>
              <w:left w:val="single" w:color="000000" w:sz="4" w:space="0"/>
              <w:bottom w:val="single" w:color="000000" w:sz="4" w:space="0"/>
              <w:right w:val="single" w:color="000000" w:sz="8" w:space="0"/>
            </w:tcBorders>
            <w:shd w:val="clear" w:color="auto" w:fill="C0C0C0"/>
            <w:noWrap/>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品牌</w:t>
            </w:r>
          </w:p>
        </w:tc>
      </w:tr>
      <w:tr>
        <w:tblPrEx>
          <w:tblLayout w:type="fixed"/>
          <w:tblCellMar>
            <w:top w:w="0" w:type="dxa"/>
            <w:left w:w="108" w:type="dxa"/>
            <w:bottom w:w="0" w:type="dxa"/>
            <w:right w:w="108" w:type="dxa"/>
          </w:tblCellMar>
        </w:tblPrEx>
        <w:trPr>
          <w:trHeight w:val="402" w:hRule="atLeast"/>
        </w:trPr>
        <w:tc>
          <w:tcPr>
            <w:tcW w:w="5776"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b/>
                <w:bCs/>
                <w:color w:val="000000"/>
                <w:kern w:val="0"/>
                <w:sz w:val="18"/>
                <w:szCs w:val="18"/>
              </w:rPr>
            </w:pPr>
            <w:r>
              <w:rPr>
                <w:rFonts w:hint="eastAsia" w:ascii="宋体" w:hAnsi="宋体"/>
                <w:b/>
                <w:bCs/>
                <w:color w:val="000000"/>
                <w:kern w:val="0"/>
                <w:sz w:val="18"/>
                <w:szCs w:val="18"/>
              </w:rPr>
              <w:t>监控系统</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b/>
                <w:bCs/>
                <w:color w:val="000000"/>
                <w:kern w:val="0"/>
                <w:sz w:val="18"/>
                <w:szCs w:val="18"/>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kern w:val="0"/>
                <w:sz w:val="20"/>
                <w:szCs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Times New Roman"/>
                <w:kern w:val="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675"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治安枪式摄像机</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200W像素1/2.7英寸Progressive Sc，200W像素1×10Base-T/100Base-TX(RJ-45)自适应以太网接口，</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6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675"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治安球机</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200W像素1/2.7英寸Progressive Sc，200W像素1×10Base-T/100Base-TX(RJ-45)自适应以太网接口，</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2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6300"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违法抓拍球机</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200万 违法停车：抓拍距离半径：140m（多场景）、66m（单场景） 支持A\B\C\D类违法停车抓拍； 支持可自适应的多场景巡航检测； 支持车辆类型、车身颜色、车标、车系、车牌、车牌颜色等多种机动车属性识别</w:t>
            </w:r>
            <w:r>
              <w:rPr>
                <w:rFonts w:hint="eastAsia" w:ascii="宋体" w:hAnsi="宋体"/>
                <w:color w:val="000000"/>
                <w:kern w:val="0"/>
                <w:sz w:val="18"/>
                <w:szCs w:val="18"/>
              </w:rPr>
              <w:br w:type="textWrapping"/>
            </w:r>
            <w:r>
              <w:rPr>
                <w:rFonts w:hint="eastAsia" w:ascii="宋体" w:hAnsi="宋体"/>
                <w:color w:val="000000"/>
                <w:kern w:val="0"/>
                <w:sz w:val="18"/>
                <w:szCs w:val="18"/>
              </w:rPr>
              <w:t>卡口抓拍：支持覆盖1个机动车道+1个非机动车牌 支持以下多种行为检测抓拍：车卡口、压白线、压黄线、逆行、违法变道、车辆加塞、有车占道、黄牌占道、不按车道行驶、超速、欠速、不系安全带、交通拥堵； 支持以下车辆特征识别：车牌、车牌颜色、车身颜色、车辆类型、车标、车系、车速、年检标志、纸巾盒、香水盒、挂件、安全带状态、遮阳板状态、人脸抠图、主驾驶抽烟状态、主驾驶打电话状态</w:t>
            </w:r>
            <w:r>
              <w:rPr>
                <w:rFonts w:hint="eastAsia" w:ascii="宋体" w:hAnsi="宋体"/>
                <w:color w:val="000000"/>
                <w:kern w:val="0"/>
                <w:sz w:val="18"/>
                <w:szCs w:val="18"/>
              </w:rPr>
              <w:br w:type="textWrapping"/>
            </w:r>
            <w:r>
              <w:rPr>
                <w:rFonts w:hint="eastAsia" w:ascii="宋体" w:hAnsi="宋体"/>
                <w:color w:val="000000"/>
                <w:kern w:val="0"/>
                <w:sz w:val="18"/>
                <w:szCs w:val="18"/>
              </w:rPr>
              <w:t>电子警察：支持覆盖1个机动车道+1个非机动车牌 支持以下多种行为检测抓拍：车卡口、压白线、压黄线、逆行、违法变道、车辆加塞、有车占道、黄牌占道、不按车道行驶、超速、违法掉头、违法倒车、未礼让行人、不按导向箭头行驶 支持以下车辆特征识别：车牌、车牌颜色、车身颜色、车辆类型、车标、车系</w:t>
            </w:r>
            <w:r>
              <w:rPr>
                <w:rFonts w:hint="eastAsia" w:ascii="宋体" w:hAnsi="宋体"/>
                <w:color w:val="000000"/>
                <w:kern w:val="0"/>
                <w:sz w:val="18"/>
                <w:szCs w:val="18"/>
              </w:rPr>
              <w:br w:type="textWrapping"/>
            </w:r>
            <w:r>
              <w:rPr>
                <w:rFonts w:hint="eastAsia" w:ascii="宋体" w:hAnsi="宋体"/>
                <w:color w:val="000000"/>
                <w:kern w:val="0"/>
                <w:sz w:val="18"/>
                <w:szCs w:val="18"/>
              </w:rPr>
              <w:t>智能说明：违停抓拍、卡口抓拍、电子警察，这三个智能互斥，支持智能多场景巡航进行分时复用</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只</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3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675"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半球式摄像机</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200W像素1/2.7英寸Progressive Sc，200W像素1×10Base-T/100Base-TX(RJ-45)自适应以太网接口，</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6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450"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8口POE交换机</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以太网交换机主机(8GE+2SFP+PoE,交流供电)</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1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285"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硬盘录像机</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8路2盘位</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1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285"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7</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硬盘</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4T，监控级</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块</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2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8</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光纤收发器</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20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室外挂箱</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个</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10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室外箱锁</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套</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100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450"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11</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8口</w:t>
            </w:r>
            <w:r>
              <w:rPr>
                <w:rFonts w:ascii="宋体" w:hAnsi="宋体"/>
                <w:color w:val="000000"/>
                <w:kern w:val="0"/>
                <w:sz w:val="18"/>
                <w:szCs w:val="18"/>
              </w:rPr>
              <w:t>交换机</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支持8个10/100/1000BASE-T (AC 125W),支持2个1000BASE-X SFP端口,交流供电</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2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12</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监控全系统检修费</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1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285"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13</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网线</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六类</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箱</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2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285"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15</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辅材</w:t>
            </w:r>
          </w:p>
        </w:tc>
        <w:tc>
          <w:tcPr>
            <w:tcW w:w="3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PVC20，金属线槽等</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1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402"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16</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施工费</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含登高车，人工，调试等费用</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xml:space="preserve">1 </w:t>
            </w:r>
          </w:p>
        </w:tc>
        <w:tc>
          <w:tcPr>
            <w:tcW w:w="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285" w:hRule="atLeast"/>
        </w:trPr>
        <w:tc>
          <w:tcPr>
            <w:tcW w:w="2331" w:type="dxa"/>
            <w:gridSpan w:val="2"/>
            <w:tcBorders>
              <w:top w:val="single" w:color="000000" w:sz="4" w:space="0"/>
              <w:left w:val="single" w:color="000000" w:sz="8" w:space="0"/>
              <w:bottom w:val="single" w:color="000000" w:sz="4" w:space="0"/>
              <w:right w:val="single" w:color="000000" w:sz="4" w:space="0"/>
            </w:tcBorders>
            <w:shd w:val="clear" w:color="auto" w:fill="FFFFFF"/>
            <w:noWrap/>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硬盘系统</w:t>
            </w:r>
          </w:p>
        </w:tc>
        <w:tc>
          <w:tcPr>
            <w:tcW w:w="34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宋体" w:hAnsi="宋体"/>
                <w:color w:val="000000"/>
                <w:kern w:val="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Times New Roman" w:hAnsi="Times New Roman" w:eastAsia="Times New Roman"/>
                <w:kern w:val="0"/>
                <w:sz w:val="20"/>
                <w:szCs w:val="20"/>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Times New Roman" w:hAnsi="Times New Roman" w:eastAsia="Times New Roman"/>
                <w:kern w:val="0"/>
                <w:sz w:val="20"/>
                <w:szCs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rPr>
                <w:rFonts w:ascii="Times New Roman" w:hAnsi="Times New Roman" w:eastAsia="Times New Roman"/>
                <w:kern w:val="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FFFFFF"/>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285"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企业级硬盘</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4T</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块</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20</w:t>
            </w:r>
          </w:p>
        </w:tc>
        <w:tc>
          <w:tcPr>
            <w:tcW w:w="697" w:type="dxa"/>
            <w:tcBorders>
              <w:top w:val="single" w:color="000000" w:sz="4" w:space="0"/>
              <w:left w:val="single" w:color="000000" w:sz="4" w:space="0"/>
              <w:bottom w:val="single" w:color="000000" w:sz="4" w:space="0"/>
              <w:right w:val="single" w:color="000000" w:sz="4" w:space="0"/>
            </w:tcBorders>
            <w:shd w:val="clear" w:color="BDD7EE" w:fill="FFFFFF"/>
            <w:noWrap/>
            <w:vAlign w:val="center"/>
          </w:tcPr>
          <w:p>
            <w:pPr>
              <w:widowControl/>
              <w:jc w:val="right"/>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285"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企业级硬盘</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6T</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块</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10</w:t>
            </w:r>
          </w:p>
        </w:tc>
        <w:tc>
          <w:tcPr>
            <w:tcW w:w="697" w:type="dxa"/>
            <w:tcBorders>
              <w:top w:val="single" w:color="000000" w:sz="4" w:space="0"/>
              <w:left w:val="single" w:color="000000" w:sz="4" w:space="0"/>
              <w:bottom w:val="single" w:color="000000" w:sz="4" w:space="0"/>
              <w:right w:val="single" w:color="000000" w:sz="4" w:space="0"/>
            </w:tcBorders>
            <w:shd w:val="clear" w:color="BDD7EE" w:fill="FFFFFF"/>
            <w:noWrap/>
            <w:vAlign w:val="center"/>
          </w:tcPr>
          <w:p>
            <w:pPr>
              <w:widowControl/>
              <w:jc w:val="right"/>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285" w:hRule="atLeast"/>
        </w:trPr>
        <w:tc>
          <w:tcPr>
            <w:tcW w:w="8985" w:type="dxa"/>
            <w:gridSpan w:val="8"/>
            <w:tcBorders>
              <w:top w:val="single" w:color="000000" w:sz="4" w:space="0"/>
              <w:left w:val="single" w:color="000000" w:sz="8" w:space="0"/>
              <w:bottom w:val="single" w:color="000000" w:sz="4" w:space="0"/>
              <w:right w:val="single" w:color="000000" w:sz="8" w:space="0"/>
            </w:tcBorders>
            <w:shd w:val="clear" w:color="auto" w:fill="auto"/>
            <w:noWrap/>
            <w:vAlign w:val="center"/>
          </w:tcPr>
          <w:p>
            <w:pPr>
              <w:widowControl/>
              <w:jc w:val="left"/>
              <w:rPr>
                <w:rFonts w:ascii="Times New Roman" w:hAnsi="Times New Roman" w:eastAsia="Times New Roman"/>
                <w:kern w:val="0"/>
                <w:sz w:val="20"/>
                <w:szCs w:val="20"/>
              </w:rPr>
            </w:pPr>
            <w:r>
              <w:rPr>
                <w:rFonts w:hint="eastAsia" w:ascii="宋体" w:hAnsi="宋体" w:cs="宋体"/>
                <w:kern w:val="0"/>
                <w:sz w:val="20"/>
                <w:szCs w:val="20"/>
              </w:rPr>
              <w:t>维保</w:t>
            </w:r>
          </w:p>
        </w:tc>
      </w:tr>
      <w:tr>
        <w:tblPrEx>
          <w:tblLayout w:type="fixed"/>
          <w:tblCellMar>
            <w:top w:w="0" w:type="dxa"/>
            <w:left w:w="108" w:type="dxa"/>
            <w:bottom w:w="0" w:type="dxa"/>
            <w:right w:w="108" w:type="dxa"/>
          </w:tblCellMar>
        </w:tblPrEx>
        <w:trPr>
          <w:trHeight w:val="285"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ascii="宋体" w:hAnsi="宋体"/>
                <w:color w:val="000000"/>
                <w:kern w:val="0"/>
                <w:sz w:val="18"/>
                <w:szCs w:val="18"/>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道路监控系统维保</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olor w:val="000000"/>
                <w:kern w:val="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年</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697" w:type="dxa"/>
            <w:tcBorders>
              <w:top w:val="single" w:color="000000" w:sz="4" w:space="0"/>
              <w:left w:val="single" w:color="000000" w:sz="4" w:space="0"/>
              <w:bottom w:val="single" w:color="000000" w:sz="4" w:space="0"/>
              <w:right w:val="single" w:color="000000" w:sz="4" w:space="0"/>
            </w:tcBorders>
            <w:shd w:val="clear" w:color="BDD7EE" w:fill="FFFFFF"/>
            <w:noWrap/>
            <w:vAlign w:val="center"/>
          </w:tcPr>
          <w:p>
            <w:pPr>
              <w:widowControl/>
              <w:jc w:val="right"/>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r>
        <w:tblPrEx>
          <w:tblLayout w:type="fixed"/>
          <w:tblCellMar>
            <w:top w:w="0" w:type="dxa"/>
            <w:left w:w="108" w:type="dxa"/>
            <w:bottom w:w="0" w:type="dxa"/>
            <w:right w:w="108" w:type="dxa"/>
          </w:tblCellMar>
        </w:tblPrEx>
        <w:trPr>
          <w:trHeight w:val="285" w:hRule="atLeast"/>
        </w:trPr>
        <w:tc>
          <w:tcPr>
            <w:tcW w:w="8985" w:type="dxa"/>
            <w:gridSpan w:val="8"/>
            <w:tcBorders>
              <w:top w:val="single" w:color="000000" w:sz="4" w:space="0"/>
              <w:left w:val="single" w:color="000000" w:sz="8" w:space="0"/>
              <w:bottom w:val="single" w:color="000000" w:sz="4" w:space="0"/>
              <w:right w:val="single" w:color="000000" w:sz="8" w:space="0"/>
            </w:tcBorders>
            <w:shd w:val="clear" w:color="auto" w:fill="auto"/>
            <w:noWrap/>
            <w:vAlign w:val="center"/>
          </w:tcPr>
          <w:p>
            <w:pPr>
              <w:widowControl/>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eastAsia="zh-CN"/>
              </w:rPr>
              <w:t>总价</w:t>
            </w:r>
          </w:p>
        </w:tc>
      </w:tr>
      <w:tr>
        <w:tblPrEx>
          <w:tblLayout w:type="fixed"/>
          <w:tblCellMar>
            <w:top w:w="0" w:type="dxa"/>
            <w:left w:w="108" w:type="dxa"/>
            <w:bottom w:w="0" w:type="dxa"/>
            <w:right w:w="108" w:type="dxa"/>
          </w:tblCellMar>
        </w:tblPrEx>
        <w:trPr>
          <w:trHeight w:val="285" w:hRule="atLeast"/>
        </w:trPr>
        <w:tc>
          <w:tcPr>
            <w:tcW w:w="5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w:t>
            </w:r>
          </w:p>
        </w:tc>
        <w:tc>
          <w:tcPr>
            <w:tcW w:w="1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olor w:val="000000"/>
                <w:kern w:val="0"/>
                <w:sz w:val="18"/>
                <w:szCs w:val="18"/>
                <w:lang w:eastAsia="zh-CN"/>
              </w:rPr>
            </w:pPr>
            <w:r>
              <w:rPr>
                <w:rFonts w:hint="eastAsia" w:ascii="宋体" w:hAnsi="宋体"/>
                <w:color w:val="000000"/>
                <w:kern w:val="0"/>
                <w:sz w:val="18"/>
                <w:szCs w:val="18"/>
                <w:lang w:eastAsia="zh-CN"/>
              </w:rPr>
              <w:t>道路监控系统维修改造及维保</w:t>
            </w:r>
          </w:p>
        </w:tc>
        <w:tc>
          <w:tcPr>
            <w:tcW w:w="3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olor w:val="000000"/>
                <w:kern w:val="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项</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olor w:val="000000"/>
                <w:kern w:val="0"/>
                <w:sz w:val="18"/>
                <w:szCs w:val="18"/>
                <w:lang w:val="en-US" w:eastAsia="zh-CN"/>
              </w:rPr>
            </w:pPr>
            <w:r>
              <w:rPr>
                <w:rFonts w:hint="eastAsia" w:ascii="宋体" w:hAnsi="宋体"/>
                <w:color w:val="000000"/>
                <w:kern w:val="0"/>
                <w:sz w:val="18"/>
                <w:szCs w:val="18"/>
                <w:lang w:val="en-US" w:eastAsia="zh-CN"/>
              </w:rPr>
              <w:t>1</w:t>
            </w:r>
          </w:p>
        </w:tc>
        <w:tc>
          <w:tcPr>
            <w:tcW w:w="697" w:type="dxa"/>
            <w:tcBorders>
              <w:top w:val="single" w:color="000000" w:sz="4" w:space="0"/>
              <w:left w:val="single" w:color="000000" w:sz="4" w:space="0"/>
              <w:bottom w:val="single" w:color="000000" w:sz="4" w:space="0"/>
              <w:right w:val="single" w:color="000000" w:sz="4" w:space="0"/>
            </w:tcBorders>
            <w:shd w:val="clear" w:color="BDD7EE" w:fill="FFFFFF"/>
            <w:noWrap/>
            <w:vAlign w:val="center"/>
          </w:tcPr>
          <w:p>
            <w:pPr>
              <w:widowControl/>
              <w:jc w:val="right"/>
              <w:rPr>
                <w:rFonts w:ascii="宋体" w:hAnsi="宋体"/>
                <w:color w:val="000000"/>
                <w:kern w:val="0"/>
                <w:sz w:val="18"/>
                <w:szCs w:val="18"/>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Times New Roman"/>
                <w:kern w:val="0"/>
                <w:sz w:val="20"/>
                <w:szCs w:val="20"/>
              </w:rPr>
            </w:pP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widowControl/>
              <w:jc w:val="center"/>
              <w:rPr>
                <w:rFonts w:ascii="Times New Roman" w:hAnsi="Times New Roman" w:eastAsia="Times New Roman"/>
                <w:kern w:val="0"/>
                <w:sz w:val="20"/>
                <w:szCs w:val="20"/>
              </w:rPr>
            </w:pPr>
          </w:p>
        </w:tc>
      </w:tr>
    </w:tbl>
    <w:p>
      <w:pPr>
        <w:spacing w:line="360" w:lineRule="auto"/>
        <w:ind w:firstLine="480" w:firstLineChars="200"/>
        <w:rPr>
          <w:sz w:val="24"/>
          <w:szCs w:val="24"/>
        </w:rPr>
      </w:pPr>
    </w:p>
    <w:p>
      <w:pPr>
        <w:spacing w:line="360" w:lineRule="auto"/>
        <w:rPr>
          <w:sz w:val="24"/>
          <w:szCs w:val="24"/>
        </w:rPr>
      </w:pPr>
      <w:r>
        <w:rPr>
          <w:sz w:val="24"/>
          <w:szCs w:val="24"/>
        </w:rPr>
        <w:t xml:space="preserve">    </w:t>
      </w:r>
      <w:r>
        <w:rPr>
          <w:rFonts w:hint="eastAsia"/>
          <w:sz w:val="24"/>
          <w:szCs w:val="24"/>
        </w:rPr>
        <w:t>1</w:t>
      </w:r>
      <w:r>
        <w:rPr>
          <w:sz w:val="24"/>
          <w:szCs w:val="24"/>
        </w:rPr>
        <w:t>.</w:t>
      </w:r>
      <w:r>
        <w:rPr>
          <w:rFonts w:hint="eastAsia"/>
          <w:sz w:val="24"/>
          <w:szCs w:val="24"/>
        </w:rPr>
        <w:t>项目选用的产品须提供相应的质量保障，与产品的名称、商标、批号或生产日期相一致的检验合格证。</w:t>
      </w:r>
    </w:p>
    <w:p>
      <w:pPr>
        <w:spacing w:line="360" w:lineRule="auto"/>
        <w:rPr>
          <w:sz w:val="24"/>
          <w:szCs w:val="24"/>
        </w:rPr>
      </w:pPr>
      <w:r>
        <w:rPr>
          <w:sz w:val="24"/>
          <w:szCs w:val="24"/>
        </w:rPr>
        <w:t xml:space="preserve">    2.</w:t>
      </w:r>
      <w:r>
        <w:rPr>
          <w:rFonts w:hint="eastAsia"/>
          <w:sz w:val="24"/>
          <w:szCs w:val="24"/>
        </w:rPr>
        <w:t>本项目不接受联合体投标，本项目禁止转包和分包，如参选单位中选后将本项目转包和分包给其它单位或个人，委托人有权取消其中选资格。</w:t>
      </w:r>
    </w:p>
    <w:p>
      <w:pPr>
        <w:spacing w:line="420" w:lineRule="exact"/>
        <w:rPr>
          <w:rFonts w:ascii="黑体" w:hAnsi="黑体" w:eastAsia="黑体" w:cs="黑体"/>
          <w:sz w:val="24"/>
          <w:szCs w:val="24"/>
        </w:rPr>
      </w:pPr>
      <w:r>
        <w:rPr>
          <w:rFonts w:hint="eastAsia" w:ascii="黑体" w:hAnsi="黑体" w:eastAsia="黑体" w:cs="黑体"/>
          <w:sz w:val="24"/>
          <w:szCs w:val="24"/>
        </w:rPr>
        <w:t>（二）评标办法：</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1.评审办法：经评审的最低投标价法。（含税）</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2.投标文件有下述情形之一的，视为未能对招标文件作出实质性响应，作为无效投标文件处理：</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（1）不满足合格投标人资格要求的。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（2）投标文件中的报价函未加盖投标人的公章的。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（3）未按招标文件规定的格式填写，内容不全或关键内容字迹模糊、无法辨认的。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（4）投标人递交多份内容不同的投标文件，或对同一项目报有两个或多个报价的。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（5）改变招标文件提供的设备/物资清单中的数量的。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（6）未满足招标文件清单中所有服务要求。</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（7）未完全响应招标文件合同条款格式内容的。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（8）经评审委员会认定投标人的报价低于成本价的。</w:t>
      </w:r>
    </w:p>
    <w:p>
      <w:pPr>
        <w:spacing w:line="420" w:lineRule="exact"/>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stheme="minorEastAsia"/>
          <w:sz w:val="24"/>
          <w:szCs w:val="24"/>
        </w:rPr>
        <w:t>（9）超过项目招标限价的（如有）。</w:t>
      </w: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四、服务要求</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1.施工要求：</w:t>
      </w:r>
      <w:r>
        <w:rPr>
          <w:rFonts w:hint="eastAsia" w:ascii="宋体" w:hAnsi="宋体"/>
          <w:color w:val="000000" w:themeColor="text1"/>
          <w:sz w:val="24"/>
          <w:szCs w:val="24"/>
          <w14:textFill>
            <w14:solidFill>
              <w14:schemeClr w14:val="tx1"/>
            </w14:solidFill>
          </w14:textFill>
        </w:rPr>
        <w:t>投标人必须在招标人要求的时间将所需器材送达指定地点，并完成施工，待安装调试结束，需通过验收；</w:t>
      </w:r>
    </w:p>
    <w:p>
      <w:pPr>
        <w:spacing w:line="360" w:lineRule="auto"/>
        <w:rPr>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2.主体责任明确：</w:t>
      </w:r>
      <w:r>
        <w:rPr>
          <w:rFonts w:hint="eastAsia" w:ascii="宋体" w:hAnsi="宋体"/>
          <w:color w:val="000000" w:themeColor="text1"/>
          <w:sz w:val="24"/>
          <w:szCs w:val="24"/>
          <w14:textFill>
            <w14:solidFill>
              <w14:schemeClr w14:val="tx1"/>
            </w14:solidFill>
          </w14:textFill>
        </w:rPr>
        <w:t>投标公司如在运输、施工过程中发生任何意外情况，造成人、物或设备等损失，由投标人负责并自行处理；</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3.本项目中标后，招标人有权</w:t>
      </w:r>
      <w:r>
        <w:rPr>
          <w:rFonts w:hint="eastAsia" w:ascii="宋体" w:hAnsi="宋体"/>
          <w:b/>
          <w:bCs/>
          <w:color w:val="000000" w:themeColor="text1"/>
          <w:sz w:val="24"/>
          <w:szCs w:val="24"/>
          <w14:textFill>
            <w14:solidFill>
              <w14:schemeClr w14:val="tx1"/>
            </w14:solidFill>
          </w14:textFill>
        </w:rPr>
        <w:t>根据实际需要对项目进行调整，</w:t>
      </w:r>
      <w:r>
        <w:rPr>
          <w:rFonts w:hint="eastAsia" w:ascii="宋体" w:hAnsi="宋体"/>
          <w:color w:val="000000" w:themeColor="text1"/>
          <w:sz w:val="24"/>
          <w:szCs w:val="24"/>
          <w14:textFill>
            <w14:solidFill>
              <w14:schemeClr w14:val="tx1"/>
            </w14:solidFill>
          </w14:textFill>
        </w:rPr>
        <w:t>但原则上调整金额不超出中标金额的</w:t>
      </w:r>
      <w:r>
        <w:rPr>
          <w:rFonts w:hint="eastAsia" w:ascii="宋体" w:hAnsi="宋体" w:cs="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10%，投标人应无条件满足。</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五、中标及合同授予</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1．确定中标人后，招标人以电话通知方式或书面通知中标人，并签订具体的项目合同，未接到中标通知的单位视为不中标，招标人没有义务解释不中标原因。</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2．中标单位如在项目实施时, 违反了国家法律法规或严重违反招标方公司相关规定，以及产品、服务质量差，不符合招标方要求，招标人可终止合同，取消该单位中标人资格。招标方可通知第二候选单位中标。 </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3．招标人一旦发现投标人的投标文件中资质证明等材料文件造假，有权取消该投标人的中标资格，且该投标人将被列入不诚信单位名单。</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4．非招标人原因中标人拒签合同或中标人严重违约的，该中标人将被列入不诚信单位名单。</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5．被列入不诚信单位名单的单位，招标人有权拒绝该单位之后其它项目的投标。</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六、合同条款格式：</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详见附件一</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七、投标文件的递交:</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、投标文件一式三份（正本一份、副本二份），并明确标明“正本”和“副本”，正、副本如有不同之处，以正本为准。</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、密封后加盖公章，否则无效。</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、投标人在收到招标文件后，若需答疑，应以书面形式在投标文件的截止时间</w:t>
      </w:r>
      <w:r>
        <w:rPr>
          <w:rFonts w:asciiTheme="minorEastAsia" w:hAnsiTheme="minorEastAsia" w:eastAsiaTheme="minorEastAsia"/>
          <w:sz w:val="24"/>
          <w:szCs w:val="24"/>
        </w:rPr>
        <w:t>48</w:t>
      </w:r>
      <w:r>
        <w:rPr>
          <w:rFonts w:hint="eastAsia" w:asciiTheme="minorEastAsia" w:hAnsiTheme="minorEastAsia" w:eastAsiaTheme="minorEastAsia"/>
          <w:sz w:val="24"/>
          <w:szCs w:val="24"/>
        </w:rPr>
        <w:t>小时前向招标人提出。</w:t>
      </w:r>
    </w:p>
    <w:p>
      <w:pPr>
        <w:spacing w:line="360" w:lineRule="auto"/>
        <w:ind w:firstLine="480" w:firstLineChars="200"/>
        <w:rPr>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hint="eastAsia"/>
          <w:sz w:val="24"/>
          <w:szCs w:val="24"/>
        </w:rPr>
        <w:t>开标时间和地点另行通知，开标前须将投标文件按通知要求递交至指定开标地点，开标约定时间之后递交无效。</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5、联系人：李工</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联系电话：0514-86100268</w:t>
      </w:r>
    </w:p>
    <w:p>
      <w:pPr>
        <w:spacing w:line="360" w:lineRule="auto"/>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扬州泰州国际机场投资建设有限责任公司</w:t>
      </w:r>
    </w:p>
    <w:p>
      <w:pPr>
        <w:spacing w:line="360" w:lineRule="auto"/>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20</w:t>
      </w:r>
      <w:r>
        <w:rPr>
          <w:rFonts w:hint="eastAsia" w:asciiTheme="minorEastAsia" w:hAnsiTheme="minorEastAsia" w:eastAsiaTheme="minorEastAsia"/>
          <w:sz w:val="24"/>
          <w:szCs w:val="24"/>
        </w:rPr>
        <w:t>22年</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color w:val="000000" w:themeColor="text1"/>
          <w:sz w:val="24"/>
          <w:szCs w:val="24"/>
          <w14:textFill>
            <w14:solidFill>
              <w14:schemeClr w14:val="tx1"/>
            </w14:solidFill>
          </w14:textFill>
        </w:rPr>
        <w:t>月</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28</w:t>
      </w:r>
      <w:r>
        <w:rPr>
          <w:rFonts w:hint="eastAsia" w:asciiTheme="minorEastAsia" w:hAnsiTheme="minorEastAsia" w:eastAsiaTheme="minorEastAsia"/>
          <w:color w:val="000000" w:themeColor="text1"/>
          <w:sz w:val="24"/>
          <w:szCs w:val="24"/>
          <w14:textFill>
            <w14:solidFill>
              <w14:schemeClr w14:val="tx1"/>
            </w14:solidFill>
          </w14:textFill>
        </w:rPr>
        <w:t>日</w:t>
      </w:r>
    </w:p>
    <w:p>
      <w:pPr>
        <w:widowControl/>
        <w:jc w:val="left"/>
        <w:rPr>
          <w:rFonts w:ascii="宋体" w:hAnsi="宋体"/>
          <w:kern w:val="0"/>
          <w:sz w:val="24"/>
          <w:szCs w:val="24"/>
        </w:rPr>
      </w:pPr>
      <w:r>
        <w:rPr>
          <w:rFonts w:ascii="宋体" w:hAnsi="宋体"/>
          <w:kern w:val="0"/>
          <w:sz w:val="24"/>
          <w:szCs w:val="24"/>
        </w:rPr>
        <w:br w:type="page"/>
      </w:r>
    </w:p>
    <w:p>
      <w:pPr>
        <w:snapToGrid w:val="0"/>
        <w:spacing w:line="360" w:lineRule="auto"/>
        <w:jc w:val="center"/>
        <w:rPr>
          <w:rFonts w:ascii="黑体" w:hAnsi="黑体" w:eastAsia="黑体"/>
          <w:sz w:val="32"/>
          <w:szCs w:val="32"/>
        </w:rPr>
      </w:pPr>
      <w:r>
        <w:rPr>
          <w:rFonts w:hint="eastAsia" w:ascii="黑体" w:hAnsi="黑体" w:eastAsia="黑体"/>
          <w:sz w:val="32"/>
          <w:szCs w:val="32"/>
        </w:rPr>
        <w:t>投标文件组成</w:t>
      </w:r>
    </w:p>
    <w:p>
      <w:pPr>
        <w:snapToGrid w:val="0"/>
        <w:spacing w:line="360" w:lineRule="auto"/>
        <w:jc w:val="center"/>
        <w:rPr>
          <w:rFonts w:ascii="宋体" w:hAnsi="宋体"/>
          <w:sz w:val="30"/>
          <w:szCs w:val="30"/>
        </w:rPr>
      </w:pPr>
    </w:p>
    <w:p>
      <w:pPr>
        <w:numPr>
          <w:ilvl w:val="0"/>
          <w:numId w:val="1"/>
        </w:numPr>
        <w:adjustRightInd w:val="0"/>
        <w:snapToGrid w:val="0"/>
        <w:spacing w:line="360" w:lineRule="auto"/>
        <w:rPr>
          <w:rFonts w:ascii="宋体" w:hAnsi="宋体"/>
          <w:snapToGrid w:val="0"/>
        </w:rPr>
      </w:pPr>
      <w:r>
        <w:rPr>
          <w:rFonts w:hint="eastAsia" w:ascii="宋体" w:hAnsi="宋体"/>
          <w:snapToGrid w:val="0"/>
        </w:rPr>
        <w:t>投标函（格式附后）</w:t>
      </w:r>
    </w:p>
    <w:p>
      <w:pPr>
        <w:numPr>
          <w:ilvl w:val="0"/>
          <w:numId w:val="1"/>
        </w:numPr>
        <w:adjustRightInd w:val="0"/>
        <w:snapToGrid w:val="0"/>
        <w:spacing w:line="360" w:lineRule="auto"/>
        <w:rPr>
          <w:rFonts w:ascii="宋体" w:hAnsi="宋体"/>
        </w:rPr>
      </w:pPr>
      <w:r>
        <w:rPr>
          <w:rFonts w:hint="eastAsia" w:ascii="宋体" w:hAnsi="宋体"/>
          <w:snapToGrid w:val="0"/>
        </w:rPr>
        <w:t>报价清单</w:t>
      </w:r>
    </w:p>
    <w:p>
      <w:pPr>
        <w:numPr>
          <w:ilvl w:val="0"/>
          <w:numId w:val="1"/>
        </w:numPr>
        <w:adjustRightInd w:val="0"/>
        <w:snapToGrid w:val="0"/>
        <w:spacing w:line="360" w:lineRule="auto"/>
        <w:rPr>
          <w:rFonts w:ascii="宋体" w:hAnsi="宋体"/>
        </w:rPr>
      </w:pPr>
      <w:r>
        <w:rPr>
          <w:rFonts w:hint="eastAsia" w:ascii="宋体" w:hAnsi="宋体"/>
          <w:snapToGrid w:val="0"/>
        </w:rPr>
        <w:t>营业执照和资质证书复印件（复印件加盖公章，原件备查）</w:t>
      </w:r>
    </w:p>
    <w:p>
      <w:pPr>
        <w:numPr>
          <w:ilvl w:val="0"/>
          <w:numId w:val="1"/>
        </w:numPr>
        <w:adjustRightInd w:val="0"/>
        <w:snapToGrid w:val="0"/>
        <w:spacing w:line="360" w:lineRule="auto"/>
        <w:rPr>
          <w:rFonts w:ascii="宋体" w:hAnsi="宋体"/>
        </w:rPr>
      </w:pPr>
      <w:r>
        <w:rPr>
          <w:rFonts w:hint="eastAsia" w:ascii="宋体" w:hAnsi="宋体"/>
        </w:rPr>
        <w:t>业绩证明材料</w:t>
      </w:r>
      <w:r>
        <w:rPr>
          <w:rFonts w:hint="eastAsia" w:ascii="宋体" w:hAnsi="宋体"/>
          <w:snapToGrid w:val="0"/>
        </w:rPr>
        <w:t>（复印件加盖公章，原件备查）</w:t>
      </w:r>
    </w:p>
    <w:p>
      <w:pPr>
        <w:numPr>
          <w:ilvl w:val="0"/>
          <w:numId w:val="1"/>
        </w:numPr>
        <w:adjustRightInd w:val="0"/>
        <w:snapToGrid w:val="0"/>
        <w:spacing w:line="360" w:lineRule="auto"/>
        <w:rPr>
          <w:rFonts w:ascii="宋体" w:hAnsi="宋体"/>
          <w:snapToGrid w:val="0"/>
        </w:rPr>
      </w:pPr>
      <w:r>
        <w:rPr>
          <w:rFonts w:hint="eastAsia" w:ascii="宋体" w:hAnsi="宋体"/>
          <w:snapToGrid w:val="0"/>
        </w:rPr>
        <w:t>报价人认为应提交的其它材料</w:t>
      </w:r>
    </w:p>
    <w:p>
      <w:pPr>
        <w:adjustRightInd w:val="0"/>
        <w:snapToGrid w:val="0"/>
        <w:spacing w:line="360" w:lineRule="auto"/>
        <w:rPr>
          <w:rFonts w:ascii="宋体" w:hAnsi="宋体"/>
          <w:snapToGrid w:val="0"/>
        </w:rPr>
      </w:pPr>
    </w:p>
    <w:p>
      <w:pPr>
        <w:adjustRightInd w:val="0"/>
        <w:snapToGrid w:val="0"/>
        <w:spacing w:line="360" w:lineRule="auto"/>
        <w:rPr>
          <w:rFonts w:ascii="宋体" w:hAnsi="宋体"/>
          <w:snapToGrid w:val="0"/>
        </w:rPr>
      </w:pPr>
    </w:p>
    <w:p>
      <w:pPr>
        <w:numPr>
          <w:ilvl w:val="0"/>
          <w:numId w:val="2"/>
        </w:numPr>
        <w:adjustRightInd w:val="0"/>
        <w:snapToGrid w:val="0"/>
        <w:spacing w:line="360" w:lineRule="auto"/>
        <w:rPr>
          <w:rFonts w:ascii="宋体" w:hAnsi="宋体"/>
          <w:color w:val="000000" w:themeColor="text1"/>
          <w:sz w:val="30"/>
          <w:szCs w:val="30"/>
          <w14:textFill>
            <w14:solidFill>
              <w14:schemeClr w14:val="tx1"/>
            </w14:solidFill>
          </w14:textFill>
        </w:rPr>
      </w:pPr>
      <w:r>
        <w:rPr>
          <w:rFonts w:ascii="宋体" w:hAnsi="宋体"/>
          <w:sz w:val="30"/>
          <w:szCs w:val="30"/>
        </w:rPr>
        <w:br w:type="page"/>
      </w:r>
      <w:r>
        <w:rPr>
          <w:rFonts w:hint="eastAsia" w:ascii="宋体" w:hAnsi="宋体"/>
          <w:color w:val="000000" w:themeColor="text1"/>
          <w:sz w:val="30"/>
          <w:szCs w:val="30"/>
          <w14:textFill>
            <w14:solidFill>
              <w14:schemeClr w14:val="tx1"/>
            </w14:solidFill>
          </w14:textFill>
        </w:rPr>
        <w:t>投标函（格式）</w:t>
      </w:r>
    </w:p>
    <w:p>
      <w:pPr>
        <w:spacing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扬州泰州国际机场投资建设有限责任公司：</w:t>
      </w:r>
    </w:p>
    <w:p>
      <w:pPr>
        <w:spacing w:line="30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（全权代表姓名、职务、职称）</w:t>
      </w:r>
      <w:r>
        <w:rPr>
          <w:rFonts w:hint="eastAsia" w:ascii="宋体" w:hAnsi="宋体"/>
          <w:szCs w:val="21"/>
        </w:rPr>
        <w:t>为全权代表，参加贵方组织的</w:t>
      </w:r>
      <w:r>
        <w:rPr>
          <w:rFonts w:hint="eastAsia" w:ascii="宋体" w:hAnsi="宋体"/>
          <w:szCs w:val="21"/>
          <w:u w:val="single"/>
        </w:rPr>
        <w:t>（项目名称）</w:t>
      </w:r>
      <w:r>
        <w:rPr>
          <w:rFonts w:hint="eastAsia" w:ascii="宋体" w:hAnsi="宋体"/>
          <w:szCs w:val="21"/>
        </w:rPr>
        <w:t>的有关活动，为此：</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提供投标人须知规定的全部投标文件（正本一份，副本二份）。</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提供按招标文件要求的货物</w:t>
      </w:r>
      <w:r>
        <w:rPr>
          <w:rFonts w:ascii="宋体" w:hAnsi="宋体"/>
          <w:szCs w:val="21"/>
        </w:rPr>
        <w:t>/</w:t>
      </w:r>
      <w:r>
        <w:rPr>
          <w:rFonts w:hint="eastAsia" w:ascii="宋体" w:hAnsi="宋体"/>
          <w:szCs w:val="21"/>
        </w:rPr>
        <w:t>服务的报价为人民币（大写）元（</w:t>
      </w:r>
      <w:r>
        <w:rPr>
          <w:rFonts w:ascii="宋体" w:hAnsi="宋体"/>
          <w:szCs w:val="21"/>
        </w:rPr>
        <w:t>RMB:</w:t>
      </w:r>
      <w:r>
        <w:rPr>
          <w:rFonts w:hint="eastAsia" w:ascii="宋体" w:hAnsi="宋体"/>
          <w:szCs w:val="21"/>
        </w:rPr>
        <w:t>）（</w:t>
      </w:r>
      <w:r>
        <w:rPr>
          <w:rFonts w:hint="eastAsia" w:ascii="宋体" w:hAnsi="宋体"/>
          <w:szCs w:val="21"/>
          <w:u w:val="single"/>
        </w:rPr>
        <w:t>详见报价清单</w:t>
      </w:r>
      <w:r>
        <w:rPr>
          <w:rFonts w:hint="eastAsia" w:ascii="宋体" w:hAnsi="宋体"/>
          <w:szCs w:val="21"/>
        </w:rPr>
        <w:t>）。</w:t>
      </w:r>
    </w:p>
    <w:p>
      <w:pPr>
        <w:numPr>
          <w:ilvl w:val="0"/>
          <w:numId w:val="3"/>
        </w:numPr>
        <w:spacing w:line="300" w:lineRule="auto"/>
        <w:rPr>
          <w:rFonts w:ascii="宋体" w:hAnsi="宋体"/>
          <w:szCs w:val="21"/>
        </w:rPr>
      </w:pPr>
      <w:r>
        <w:rPr>
          <w:rFonts w:hint="eastAsia" w:ascii="宋体" w:hAnsi="宋体"/>
          <w:szCs w:val="21"/>
        </w:rPr>
        <w:t>投标人将按招标文件的规定履行全部责任和义务。</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投标人已详细审查全部招标文件，我们完全理解并同意放弃对招标文件提出质疑及</w:t>
      </w:r>
      <w:r>
        <w:rPr>
          <w:rFonts w:ascii="宋体" w:hAnsi="宋体"/>
          <w:szCs w:val="21"/>
        </w:rPr>
        <w:t>/</w:t>
      </w:r>
      <w:r>
        <w:rPr>
          <w:rFonts w:hint="eastAsia" w:ascii="宋体" w:hAnsi="宋体"/>
          <w:szCs w:val="21"/>
        </w:rPr>
        <w:t>或争议的权利。</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bCs/>
          <w:szCs w:val="21"/>
        </w:rPr>
        <w:t>我方承诺：</w:t>
      </w:r>
      <w:r>
        <w:rPr>
          <w:rFonts w:hint="eastAsia" w:ascii="宋体" w:hAnsi="宋体"/>
          <w:szCs w:val="21"/>
        </w:rPr>
        <w:t>提供并承诺派专人负责项目施工事宜和售后服务负责人相关信息：售后服务负责人     ，联系电话         ；</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color w:val="FF0000"/>
          <w:szCs w:val="21"/>
        </w:rPr>
        <w:t>我方承诺：所提供设备的型号、配置、质量满足建设项目的要求，并与我方投标文件的约定完全一致，否则贵方有权停止合作，并由我方承担违约责任。</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我方承诺：在经营活动中无重大违法违规行为。</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与本投标文件有关的一切往来通讯请寄：</w:t>
      </w:r>
    </w:p>
    <w:p>
      <w:pPr>
        <w:spacing w:line="300" w:lineRule="auto"/>
        <w:ind w:left="420"/>
        <w:rPr>
          <w:rFonts w:ascii="宋体" w:hAnsi="宋体"/>
          <w:szCs w:val="21"/>
        </w:rPr>
      </w:pPr>
    </w:p>
    <w:p>
      <w:pPr>
        <w:spacing w:line="300" w:lineRule="auto"/>
        <w:rPr>
          <w:rFonts w:ascii="宋体" w:hAnsi="宋体"/>
          <w:szCs w:val="21"/>
        </w:rPr>
      </w:pPr>
      <w:r>
        <w:rPr>
          <w:rFonts w:hint="eastAsia" w:ascii="宋体" w:hAnsi="宋体"/>
          <w:szCs w:val="21"/>
        </w:rPr>
        <w:t>地址传真</w:t>
      </w:r>
    </w:p>
    <w:p>
      <w:pPr>
        <w:spacing w:line="300" w:lineRule="auto"/>
        <w:rPr>
          <w:rFonts w:ascii="宋体" w:hAnsi="宋体"/>
          <w:szCs w:val="21"/>
        </w:rPr>
      </w:pPr>
      <w:r>
        <w:rPr>
          <w:rFonts w:hint="eastAsia" w:ascii="宋体" w:hAnsi="宋体"/>
          <w:szCs w:val="21"/>
        </w:rPr>
        <w:t>电话电子函件</w:t>
      </w: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投标人名称（盖章）：</w:t>
      </w:r>
    </w:p>
    <w:p>
      <w:pPr>
        <w:spacing w:line="300" w:lineRule="auto"/>
        <w:rPr>
          <w:rFonts w:ascii="宋体" w:hAnsi="宋体"/>
          <w:szCs w:val="21"/>
        </w:rPr>
      </w:pPr>
      <w:r>
        <w:rPr>
          <w:rFonts w:hint="eastAsia" w:ascii="宋体" w:hAnsi="宋体"/>
          <w:szCs w:val="21"/>
        </w:rPr>
        <w:t>投标人代表（签字）：</w:t>
      </w:r>
    </w:p>
    <w:p>
      <w:pPr>
        <w:spacing w:line="300" w:lineRule="auto"/>
        <w:rPr>
          <w:rFonts w:ascii="宋体" w:hAnsi="宋体"/>
          <w:szCs w:val="21"/>
          <w:u w:val="single"/>
        </w:rPr>
      </w:pPr>
      <w:r>
        <w:rPr>
          <w:rFonts w:hint="eastAsia" w:ascii="宋体" w:hAnsi="宋体"/>
          <w:szCs w:val="21"/>
        </w:rPr>
        <w:t>日期：</w:t>
      </w: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楷体_GB2312" w:hAnsi="宋体" w:eastAsia="楷体_GB2312"/>
          <w:b/>
          <w:spacing w:val="8"/>
          <w:kern w:val="0"/>
          <w:szCs w:val="21"/>
        </w:rPr>
      </w:pPr>
      <w:r>
        <w:rPr>
          <w:rFonts w:hint="eastAsia" w:ascii="宋体" w:hAnsi="宋体"/>
          <w:szCs w:val="21"/>
        </w:rPr>
        <w:t>二、报价清单</w:t>
      </w:r>
    </w:p>
    <w:p>
      <w:pPr>
        <w:autoSpaceDE w:val="0"/>
        <w:autoSpaceDN w:val="0"/>
        <w:adjustRightInd w:val="0"/>
        <w:snapToGrid w:val="0"/>
        <w:jc w:val="center"/>
        <w:outlineLvl w:val="1"/>
        <w:rPr>
          <w:rFonts w:ascii="楷体_GB2312" w:hAnsi="宋体" w:eastAsia="楷体_GB2312"/>
          <w:b/>
          <w:spacing w:val="8"/>
          <w:kern w:val="0"/>
          <w:szCs w:val="21"/>
        </w:rPr>
      </w:pPr>
      <w:r>
        <w:rPr>
          <w:rFonts w:hint="eastAsia" w:ascii="楷体_GB2312" w:hAnsi="宋体" w:eastAsia="楷体_GB2312"/>
          <w:b/>
          <w:spacing w:val="8"/>
          <w:kern w:val="0"/>
          <w:szCs w:val="21"/>
        </w:rPr>
        <w:t>报价一览表</w:t>
      </w:r>
    </w:p>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项目名称：</w:t>
      </w:r>
    </w:p>
    <w:tbl>
      <w:tblPr>
        <w:tblStyle w:val="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1070"/>
        <w:gridCol w:w="932"/>
        <w:gridCol w:w="932"/>
        <w:gridCol w:w="1632"/>
        <w:gridCol w:w="1426"/>
        <w:gridCol w:w="1317"/>
        <w:gridCol w:w="1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4" w:hRule="atLeast"/>
        </w:trPr>
        <w:tc>
          <w:tcPr>
            <w:tcW w:w="991" w:type="dxa"/>
            <w:vAlign w:val="center"/>
          </w:tcPr>
          <w:p>
            <w:pPr>
              <w:spacing w:line="360" w:lineRule="auto"/>
              <w:jc w:val="center"/>
              <w:rPr>
                <w:rFonts w:ascii="宋体" w:hAnsi="宋体"/>
                <w:szCs w:val="21"/>
              </w:rPr>
            </w:pPr>
            <w:r>
              <w:rPr>
                <w:rFonts w:hint="eastAsia" w:ascii="宋体" w:hAnsi="宋体"/>
                <w:szCs w:val="21"/>
              </w:rPr>
              <w:t>序号</w:t>
            </w:r>
          </w:p>
        </w:tc>
        <w:tc>
          <w:tcPr>
            <w:tcW w:w="1070" w:type="dxa"/>
            <w:vAlign w:val="center"/>
          </w:tcPr>
          <w:p>
            <w:pPr>
              <w:spacing w:line="360" w:lineRule="auto"/>
              <w:jc w:val="center"/>
              <w:rPr>
                <w:rFonts w:ascii="宋体" w:hAnsi="宋体"/>
                <w:szCs w:val="21"/>
              </w:rPr>
            </w:pPr>
            <w:r>
              <w:rPr>
                <w:rFonts w:hint="eastAsia" w:ascii="宋体" w:hAnsi="宋体"/>
                <w:szCs w:val="21"/>
              </w:rPr>
              <w:t>货物名称</w:t>
            </w:r>
          </w:p>
        </w:tc>
        <w:tc>
          <w:tcPr>
            <w:tcW w:w="932" w:type="dxa"/>
            <w:vAlign w:val="center"/>
          </w:tcPr>
          <w:p>
            <w:pPr>
              <w:spacing w:line="360" w:lineRule="auto"/>
              <w:jc w:val="center"/>
              <w:rPr>
                <w:rFonts w:ascii="宋体" w:hAnsi="宋体"/>
                <w:szCs w:val="21"/>
              </w:rPr>
            </w:pPr>
            <w:r>
              <w:rPr>
                <w:rFonts w:hint="eastAsia" w:ascii="宋体" w:hAnsi="宋体"/>
                <w:szCs w:val="21"/>
              </w:rPr>
              <w:t>数  量</w:t>
            </w:r>
          </w:p>
        </w:tc>
        <w:tc>
          <w:tcPr>
            <w:tcW w:w="932" w:type="dxa"/>
            <w:vAlign w:val="center"/>
          </w:tcPr>
          <w:p>
            <w:pPr>
              <w:spacing w:line="360" w:lineRule="auto"/>
              <w:jc w:val="center"/>
            </w:pPr>
            <w:r>
              <w:rPr>
                <w:rFonts w:hint="eastAsia"/>
              </w:rPr>
              <w:t>品牌</w:t>
            </w:r>
          </w:p>
          <w:p>
            <w:pPr>
              <w:spacing w:line="360" w:lineRule="auto"/>
              <w:jc w:val="center"/>
              <w:rPr>
                <w:rFonts w:hint="eastAsia"/>
              </w:rPr>
            </w:pPr>
            <w:r>
              <w:rPr>
                <w:rFonts w:hint="eastAsia"/>
              </w:rPr>
              <w:t>型号</w:t>
            </w:r>
          </w:p>
          <w:p>
            <w:pPr>
              <w:pStyle w:val="2"/>
              <w:ind w:left="0" w:leftChars="0" w:firstLine="0" w:firstLineChars="0"/>
              <w:jc w:val="center"/>
              <w:rPr>
                <w:rFonts w:hint="eastAsia" w:eastAsia="宋体"/>
                <w:lang w:eastAsia="zh-CN"/>
              </w:rPr>
            </w:pPr>
            <w:r>
              <w:rPr>
                <w:rFonts w:hint="eastAsia" w:ascii="宋体" w:hAnsi="宋体"/>
                <w:color w:val="FF0000"/>
                <w:szCs w:val="21"/>
                <w:lang w:eastAsia="zh-CN"/>
              </w:rPr>
              <w:t>参数</w:t>
            </w:r>
          </w:p>
        </w:tc>
        <w:tc>
          <w:tcPr>
            <w:tcW w:w="1632" w:type="dxa"/>
            <w:vAlign w:val="center"/>
          </w:tcPr>
          <w:p>
            <w:pPr>
              <w:spacing w:line="360" w:lineRule="auto"/>
              <w:jc w:val="center"/>
              <w:rPr>
                <w:rFonts w:ascii="宋体" w:hAnsi="宋体"/>
                <w:szCs w:val="21"/>
              </w:rPr>
            </w:pPr>
            <w:r>
              <w:rPr>
                <w:rFonts w:hint="eastAsia" w:ascii="宋体" w:hAnsi="宋体"/>
                <w:szCs w:val="21"/>
              </w:rPr>
              <w:t>不含税单价报价（元）</w:t>
            </w:r>
          </w:p>
        </w:tc>
        <w:tc>
          <w:tcPr>
            <w:tcW w:w="1426" w:type="dxa"/>
            <w:vAlign w:val="center"/>
          </w:tcPr>
          <w:p>
            <w:pPr>
              <w:spacing w:line="360" w:lineRule="auto"/>
              <w:jc w:val="center"/>
              <w:rPr>
                <w:rFonts w:ascii="宋体" w:hAnsi="宋体"/>
                <w:szCs w:val="21"/>
              </w:rPr>
            </w:pPr>
            <w:r>
              <w:rPr>
                <w:rFonts w:hint="eastAsia" w:ascii="宋体" w:hAnsi="宋体"/>
                <w:szCs w:val="21"/>
              </w:rPr>
              <w:t>含税单价报价（元）</w:t>
            </w:r>
          </w:p>
        </w:tc>
        <w:tc>
          <w:tcPr>
            <w:tcW w:w="1317" w:type="dxa"/>
            <w:vAlign w:val="center"/>
          </w:tcPr>
          <w:p>
            <w:pPr>
              <w:spacing w:line="360" w:lineRule="auto"/>
              <w:jc w:val="center"/>
              <w:rPr>
                <w:rFonts w:ascii="宋体" w:hAnsi="宋体"/>
                <w:szCs w:val="21"/>
              </w:rPr>
            </w:pPr>
            <w:r>
              <w:rPr>
                <w:rFonts w:hint="eastAsia" w:ascii="宋体" w:hAnsi="宋体"/>
                <w:szCs w:val="21"/>
              </w:rPr>
              <w:t>不含税合计（元）</w:t>
            </w:r>
          </w:p>
        </w:tc>
        <w:tc>
          <w:tcPr>
            <w:tcW w:w="1056" w:type="dxa"/>
            <w:vAlign w:val="center"/>
          </w:tcPr>
          <w:p>
            <w:pPr>
              <w:spacing w:line="360" w:lineRule="auto"/>
              <w:jc w:val="center"/>
              <w:rPr>
                <w:rFonts w:ascii="宋体" w:hAnsi="宋体"/>
                <w:szCs w:val="21"/>
              </w:rPr>
            </w:pPr>
            <w:r>
              <w:rPr>
                <w:rFonts w:hint="eastAsia" w:ascii="宋体" w:hAnsi="宋体"/>
                <w:szCs w:val="21"/>
              </w:rPr>
              <w:t>含税合计（元）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exact"/>
        </w:trPr>
        <w:tc>
          <w:tcPr>
            <w:tcW w:w="991" w:type="dxa"/>
          </w:tcPr>
          <w:p>
            <w:pPr>
              <w:spacing w:line="360" w:lineRule="auto"/>
              <w:jc w:val="center"/>
              <w:rPr>
                <w:rFonts w:ascii="宋体" w:hAnsi="宋体"/>
                <w:szCs w:val="21"/>
              </w:rPr>
            </w:pPr>
            <w:r>
              <w:rPr>
                <w:rFonts w:hint="eastAsia" w:ascii="宋体" w:hAnsi="宋体"/>
                <w:szCs w:val="21"/>
              </w:rPr>
              <w:t>1</w:t>
            </w:r>
          </w:p>
        </w:tc>
        <w:tc>
          <w:tcPr>
            <w:tcW w:w="1070"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1632" w:type="dxa"/>
          </w:tcPr>
          <w:p>
            <w:pPr>
              <w:spacing w:line="360" w:lineRule="auto"/>
              <w:jc w:val="center"/>
              <w:rPr>
                <w:rFonts w:ascii="宋体" w:hAnsi="宋体"/>
                <w:szCs w:val="21"/>
              </w:rPr>
            </w:pPr>
          </w:p>
        </w:tc>
        <w:tc>
          <w:tcPr>
            <w:tcW w:w="1426" w:type="dxa"/>
          </w:tcPr>
          <w:p>
            <w:pPr>
              <w:spacing w:line="360" w:lineRule="auto"/>
              <w:jc w:val="center"/>
              <w:rPr>
                <w:rFonts w:ascii="宋体" w:hAnsi="宋体"/>
                <w:szCs w:val="21"/>
              </w:rPr>
            </w:pPr>
          </w:p>
        </w:tc>
        <w:tc>
          <w:tcPr>
            <w:tcW w:w="1317" w:type="dxa"/>
          </w:tcPr>
          <w:p>
            <w:pPr>
              <w:spacing w:line="360" w:lineRule="auto"/>
              <w:jc w:val="center"/>
              <w:rPr>
                <w:rFonts w:ascii="宋体" w:hAnsi="宋体"/>
                <w:szCs w:val="21"/>
              </w:rPr>
            </w:pPr>
          </w:p>
        </w:tc>
        <w:tc>
          <w:tcPr>
            <w:tcW w:w="1056"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exact"/>
        </w:trPr>
        <w:tc>
          <w:tcPr>
            <w:tcW w:w="991" w:type="dxa"/>
          </w:tcPr>
          <w:p>
            <w:pPr>
              <w:spacing w:line="360" w:lineRule="auto"/>
              <w:jc w:val="center"/>
              <w:rPr>
                <w:rFonts w:ascii="宋体" w:hAnsi="宋体"/>
                <w:szCs w:val="21"/>
              </w:rPr>
            </w:pPr>
            <w:r>
              <w:rPr>
                <w:rFonts w:hint="eastAsia" w:ascii="宋体" w:hAnsi="宋体"/>
                <w:szCs w:val="21"/>
              </w:rPr>
              <w:t>2</w:t>
            </w:r>
          </w:p>
        </w:tc>
        <w:tc>
          <w:tcPr>
            <w:tcW w:w="1070"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1632" w:type="dxa"/>
          </w:tcPr>
          <w:p>
            <w:pPr>
              <w:spacing w:line="360" w:lineRule="auto"/>
              <w:jc w:val="center"/>
              <w:rPr>
                <w:rFonts w:ascii="宋体" w:hAnsi="宋体"/>
                <w:szCs w:val="21"/>
              </w:rPr>
            </w:pPr>
          </w:p>
        </w:tc>
        <w:tc>
          <w:tcPr>
            <w:tcW w:w="1426" w:type="dxa"/>
          </w:tcPr>
          <w:p>
            <w:pPr>
              <w:spacing w:line="360" w:lineRule="auto"/>
              <w:jc w:val="center"/>
              <w:rPr>
                <w:rFonts w:ascii="宋体" w:hAnsi="宋体"/>
                <w:szCs w:val="21"/>
              </w:rPr>
            </w:pPr>
          </w:p>
        </w:tc>
        <w:tc>
          <w:tcPr>
            <w:tcW w:w="1317" w:type="dxa"/>
          </w:tcPr>
          <w:p>
            <w:pPr>
              <w:spacing w:line="360" w:lineRule="auto"/>
              <w:jc w:val="center"/>
              <w:rPr>
                <w:rFonts w:ascii="宋体" w:hAnsi="宋体"/>
                <w:szCs w:val="21"/>
              </w:rPr>
            </w:pPr>
          </w:p>
        </w:tc>
        <w:tc>
          <w:tcPr>
            <w:tcW w:w="1056"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exact"/>
        </w:trPr>
        <w:tc>
          <w:tcPr>
            <w:tcW w:w="991" w:type="dxa"/>
          </w:tcPr>
          <w:p>
            <w:pPr>
              <w:spacing w:line="360" w:lineRule="auto"/>
              <w:jc w:val="center"/>
              <w:rPr>
                <w:rFonts w:ascii="宋体" w:hAnsi="宋体"/>
                <w:szCs w:val="21"/>
              </w:rPr>
            </w:pPr>
            <w:r>
              <w:rPr>
                <w:rFonts w:hint="eastAsia" w:ascii="宋体" w:hAnsi="宋体"/>
                <w:szCs w:val="21"/>
              </w:rPr>
              <w:t>3</w:t>
            </w:r>
          </w:p>
        </w:tc>
        <w:tc>
          <w:tcPr>
            <w:tcW w:w="1070"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1632" w:type="dxa"/>
          </w:tcPr>
          <w:p>
            <w:pPr>
              <w:spacing w:line="360" w:lineRule="auto"/>
              <w:jc w:val="center"/>
              <w:rPr>
                <w:rFonts w:ascii="宋体" w:hAnsi="宋体"/>
                <w:szCs w:val="21"/>
              </w:rPr>
            </w:pPr>
          </w:p>
        </w:tc>
        <w:tc>
          <w:tcPr>
            <w:tcW w:w="1426" w:type="dxa"/>
          </w:tcPr>
          <w:p>
            <w:pPr>
              <w:spacing w:line="360" w:lineRule="auto"/>
              <w:jc w:val="center"/>
              <w:rPr>
                <w:rFonts w:ascii="宋体" w:hAnsi="宋体"/>
                <w:szCs w:val="21"/>
              </w:rPr>
            </w:pPr>
          </w:p>
        </w:tc>
        <w:tc>
          <w:tcPr>
            <w:tcW w:w="1317" w:type="dxa"/>
          </w:tcPr>
          <w:p>
            <w:pPr>
              <w:spacing w:line="360" w:lineRule="auto"/>
              <w:jc w:val="center"/>
              <w:rPr>
                <w:rFonts w:ascii="宋体" w:hAnsi="宋体"/>
                <w:szCs w:val="21"/>
              </w:rPr>
            </w:pPr>
          </w:p>
        </w:tc>
        <w:tc>
          <w:tcPr>
            <w:tcW w:w="1056"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exact"/>
        </w:trPr>
        <w:tc>
          <w:tcPr>
            <w:tcW w:w="991" w:type="dxa"/>
          </w:tcPr>
          <w:p>
            <w:pPr>
              <w:spacing w:line="360" w:lineRule="auto"/>
              <w:jc w:val="center"/>
              <w:rPr>
                <w:rFonts w:ascii="宋体" w:hAnsi="宋体"/>
                <w:szCs w:val="21"/>
              </w:rPr>
            </w:pPr>
            <w:r>
              <w:rPr>
                <w:rFonts w:hint="eastAsia" w:ascii="宋体" w:hAnsi="宋体"/>
                <w:szCs w:val="21"/>
              </w:rPr>
              <w:t>4</w:t>
            </w:r>
          </w:p>
        </w:tc>
        <w:tc>
          <w:tcPr>
            <w:tcW w:w="1070"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1632" w:type="dxa"/>
          </w:tcPr>
          <w:p>
            <w:pPr>
              <w:spacing w:line="360" w:lineRule="auto"/>
              <w:jc w:val="center"/>
              <w:rPr>
                <w:rFonts w:ascii="宋体" w:hAnsi="宋体"/>
                <w:szCs w:val="21"/>
              </w:rPr>
            </w:pPr>
          </w:p>
        </w:tc>
        <w:tc>
          <w:tcPr>
            <w:tcW w:w="1426" w:type="dxa"/>
          </w:tcPr>
          <w:p>
            <w:pPr>
              <w:spacing w:line="360" w:lineRule="auto"/>
              <w:jc w:val="center"/>
              <w:rPr>
                <w:rFonts w:ascii="宋体" w:hAnsi="宋体"/>
                <w:szCs w:val="21"/>
              </w:rPr>
            </w:pPr>
          </w:p>
        </w:tc>
        <w:tc>
          <w:tcPr>
            <w:tcW w:w="1317" w:type="dxa"/>
          </w:tcPr>
          <w:p>
            <w:pPr>
              <w:spacing w:line="360" w:lineRule="auto"/>
              <w:jc w:val="center"/>
              <w:rPr>
                <w:rFonts w:ascii="宋体" w:hAnsi="宋体"/>
                <w:szCs w:val="21"/>
              </w:rPr>
            </w:pPr>
          </w:p>
        </w:tc>
        <w:tc>
          <w:tcPr>
            <w:tcW w:w="1056"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exact"/>
        </w:trPr>
        <w:tc>
          <w:tcPr>
            <w:tcW w:w="991" w:type="dxa"/>
          </w:tcPr>
          <w:p>
            <w:pPr>
              <w:spacing w:line="360" w:lineRule="auto"/>
              <w:jc w:val="center"/>
              <w:rPr>
                <w:rFonts w:ascii="宋体" w:hAnsi="宋体"/>
                <w:szCs w:val="21"/>
              </w:rPr>
            </w:pPr>
            <w:r>
              <w:rPr>
                <w:rFonts w:hint="eastAsia" w:ascii="宋体" w:hAnsi="宋体"/>
                <w:szCs w:val="21"/>
              </w:rPr>
              <w:t>5</w:t>
            </w:r>
          </w:p>
        </w:tc>
        <w:tc>
          <w:tcPr>
            <w:tcW w:w="1070"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1632" w:type="dxa"/>
          </w:tcPr>
          <w:p>
            <w:pPr>
              <w:spacing w:line="360" w:lineRule="auto"/>
              <w:jc w:val="center"/>
              <w:rPr>
                <w:rFonts w:ascii="宋体" w:hAnsi="宋体"/>
                <w:szCs w:val="21"/>
              </w:rPr>
            </w:pPr>
          </w:p>
        </w:tc>
        <w:tc>
          <w:tcPr>
            <w:tcW w:w="1426" w:type="dxa"/>
          </w:tcPr>
          <w:p>
            <w:pPr>
              <w:spacing w:line="360" w:lineRule="auto"/>
              <w:jc w:val="center"/>
              <w:rPr>
                <w:rFonts w:ascii="宋体" w:hAnsi="宋体"/>
                <w:szCs w:val="21"/>
              </w:rPr>
            </w:pPr>
          </w:p>
        </w:tc>
        <w:tc>
          <w:tcPr>
            <w:tcW w:w="1317" w:type="dxa"/>
          </w:tcPr>
          <w:p>
            <w:pPr>
              <w:spacing w:line="360" w:lineRule="auto"/>
              <w:jc w:val="center"/>
              <w:rPr>
                <w:rFonts w:ascii="宋体" w:hAnsi="宋体"/>
                <w:szCs w:val="21"/>
              </w:rPr>
            </w:pPr>
          </w:p>
        </w:tc>
        <w:tc>
          <w:tcPr>
            <w:tcW w:w="1056"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exact"/>
        </w:trPr>
        <w:tc>
          <w:tcPr>
            <w:tcW w:w="991" w:type="dxa"/>
          </w:tcPr>
          <w:p>
            <w:pPr>
              <w:spacing w:line="360" w:lineRule="auto"/>
              <w:jc w:val="center"/>
              <w:rPr>
                <w:rFonts w:ascii="宋体" w:hAnsi="宋体"/>
                <w:szCs w:val="21"/>
              </w:rPr>
            </w:pPr>
            <w:r>
              <w:rPr>
                <w:rFonts w:hint="eastAsia" w:ascii="宋体" w:hAnsi="宋体"/>
                <w:szCs w:val="21"/>
              </w:rPr>
              <w:t>6</w:t>
            </w:r>
          </w:p>
        </w:tc>
        <w:tc>
          <w:tcPr>
            <w:tcW w:w="1070"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1632" w:type="dxa"/>
          </w:tcPr>
          <w:p>
            <w:pPr>
              <w:spacing w:line="360" w:lineRule="auto"/>
              <w:jc w:val="center"/>
              <w:rPr>
                <w:rFonts w:ascii="宋体" w:hAnsi="宋体"/>
                <w:szCs w:val="21"/>
              </w:rPr>
            </w:pPr>
          </w:p>
        </w:tc>
        <w:tc>
          <w:tcPr>
            <w:tcW w:w="1426" w:type="dxa"/>
          </w:tcPr>
          <w:p>
            <w:pPr>
              <w:spacing w:line="360" w:lineRule="auto"/>
              <w:jc w:val="center"/>
              <w:rPr>
                <w:rFonts w:ascii="宋体" w:hAnsi="宋体"/>
                <w:szCs w:val="21"/>
              </w:rPr>
            </w:pPr>
          </w:p>
        </w:tc>
        <w:tc>
          <w:tcPr>
            <w:tcW w:w="1317" w:type="dxa"/>
          </w:tcPr>
          <w:p>
            <w:pPr>
              <w:spacing w:line="360" w:lineRule="auto"/>
              <w:jc w:val="center"/>
              <w:rPr>
                <w:rFonts w:ascii="宋体" w:hAnsi="宋体"/>
                <w:szCs w:val="21"/>
              </w:rPr>
            </w:pPr>
          </w:p>
        </w:tc>
        <w:tc>
          <w:tcPr>
            <w:tcW w:w="1056"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exact"/>
        </w:trPr>
        <w:tc>
          <w:tcPr>
            <w:tcW w:w="991" w:type="dxa"/>
          </w:tcPr>
          <w:p>
            <w:pPr>
              <w:spacing w:line="360" w:lineRule="auto"/>
              <w:jc w:val="center"/>
              <w:rPr>
                <w:rFonts w:ascii="宋体" w:hAnsi="宋体"/>
                <w:szCs w:val="21"/>
              </w:rPr>
            </w:pPr>
            <w:r>
              <w:rPr>
                <w:rFonts w:hint="eastAsia" w:ascii="宋体" w:hAnsi="宋体"/>
                <w:szCs w:val="21"/>
              </w:rPr>
              <w:t>7</w:t>
            </w:r>
          </w:p>
        </w:tc>
        <w:tc>
          <w:tcPr>
            <w:tcW w:w="1070"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1632" w:type="dxa"/>
          </w:tcPr>
          <w:p>
            <w:pPr>
              <w:spacing w:line="360" w:lineRule="auto"/>
              <w:jc w:val="center"/>
              <w:rPr>
                <w:rFonts w:ascii="宋体" w:hAnsi="宋体"/>
                <w:szCs w:val="21"/>
              </w:rPr>
            </w:pPr>
          </w:p>
        </w:tc>
        <w:tc>
          <w:tcPr>
            <w:tcW w:w="1426" w:type="dxa"/>
          </w:tcPr>
          <w:p>
            <w:pPr>
              <w:spacing w:line="360" w:lineRule="auto"/>
              <w:jc w:val="center"/>
              <w:rPr>
                <w:rFonts w:ascii="宋体" w:hAnsi="宋体"/>
                <w:szCs w:val="21"/>
              </w:rPr>
            </w:pPr>
          </w:p>
        </w:tc>
        <w:tc>
          <w:tcPr>
            <w:tcW w:w="1317" w:type="dxa"/>
          </w:tcPr>
          <w:p>
            <w:pPr>
              <w:spacing w:line="360" w:lineRule="auto"/>
              <w:jc w:val="center"/>
              <w:rPr>
                <w:rFonts w:ascii="宋体" w:hAnsi="宋体"/>
                <w:szCs w:val="21"/>
              </w:rPr>
            </w:pPr>
          </w:p>
        </w:tc>
        <w:tc>
          <w:tcPr>
            <w:tcW w:w="1056"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exact"/>
        </w:trPr>
        <w:tc>
          <w:tcPr>
            <w:tcW w:w="991" w:type="dxa"/>
          </w:tcPr>
          <w:p>
            <w:pPr>
              <w:spacing w:line="360" w:lineRule="auto"/>
              <w:jc w:val="center"/>
              <w:rPr>
                <w:rFonts w:ascii="宋体" w:hAnsi="宋体"/>
                <w:szCs w:val="21"/>
              </w:rPr>
            </w:pPr>
            <w:r>
              <w:rPr>
                <w:rFonts w:hint="eastAsia" w:ascii="宋体" w:hAnsi="宋体"/>
                <w:szCs w:val="21"/>
              </w:rPr>
              <w:t>8</w:t>
            </w:r>
          </w:p>
        </w:tc>
        <w:tc>
          <w:tcPr>
            <w:tcW w:w="1070"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1632" w:type="dxa"/>
          </w:tcPr>
          <w:p>
            <w:pPr>
              <w:spacing w:line="360" w:lineRule="auto"/>
              <w:jc w:val="center"/>
              <w:rPr>
                <w:rFonts w:ascii="宋体" w:hAnsi="宋体"/>
                <w:szCs w:val="21"/>
              </w:rPr>
            </w:pPr>
          </w:p>
        </w:tc>
        <w:tc>
          <w:tcPr>
            <w:tcW w:w="1426" w:type="dxa"/>
          </w:tcPr>
          <w:p>
            <w:pPr>
              <w:spacing w:line="360" w:lineRule="auto"/>
              <w:jc w:val="center"/>
              <w:rPr>
                <w:rFonts w:ascii="宋体" w:hAnsi="宋体"/>
                <w:szCs w:val="21"/>
              </w:rPr>
            </w:pPr>
          </w:p>
        </w:tc>
        <w:tc>
          <w:tcPr>
            <w:tcW w:w="1317" w:type="dxa"/>
          </w:tcPr>
          <w:p>
            <w:pPr>
              <w:spacing w:line="360" w:lineRule="auto"/>
              <w:jc w:val="center"/>
              <w:rPr>
                <w:rFonts w:ascii="宋体" w:hAnsi="宋体"/>
                <w:szCs w:val="21"/>
              </w:rPr>
            </w:pPr>
          </w:p>
        </w:tc>
        <w:tc>
          <w:tcPr>
            <w:tcW w:w="1056"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exact"/>
        </w:trPr>
        <w:tc>
          <w:tcPr>
            <w:tcW w:w="991" w:type="dxa"/>
          </w:tcPr>
          <w:p>
            <w:pPr>
              <w:spacing w:line="360" w:lineRule="auto"/>
              <w:jc w:val="center"/>
              <w:rPr>
                <w:rFonts w:ascii="宋体" w:hAnsi="宋体"/>
                <w:szCs w:val="21"/>
              </w:rPr>
            </w:pPr>
            <w:r>
              <w:rPr>
                <w:rFonts w:hint="eastAsia" w:ascii="宋体" w:hAnsi="宋体"/>
                <w:szCs w:val="21"/>
              </w:rPr>
              <w:t>9</w:t>
            </w:r>
          </w:p>
        </w:tc>
        <w:tc>
          <w:tcPr>
            <w:tcW w:w="1070"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1632" w:type="dxa"/>
          </w:tcPr>
          <w:p>
            <w:pPr>
              <w:spacing w:line="360" w:lineRule="auto"/>
              <w:jc w:val="center"/>
              <w:rPr>
                <w:rFonts w:ascii="宋体" w:hAnsi="宋体"/>
                <w:szCs w:val="21"/>
              </w:rPr>
            </w:pPr>
          </w:p>
        </w:tc>
        <w:tc>
          <w:tcPr>
            <w:tcW w:w="1426" w:type="dxa"/>
          </w:tcPr>
          <w:p>
            <w:pPr>
              <w:spacing w:line="360" w:lineRule="auto"/>
              <w:jc w:val="center"/>
              <w:rPr>
                <w:rFonts w:ascii="宋体" w:hAnsi="宋体"/>
                <w:szCs w:val="21"/>
              </w:rPr>
            </w:pPr>
          </w:p>
        </w:tc>
        <w:tc>
          <w:tcPr>
            <w:tcW w:w="1317" w:type="dxa"/>
          </w:tcPr>
          <w:p>
            <w:pPr>
              <w:spacing w:line="360" w:lineRule="auto"/>
              <w:jc w:val="center"/>
              <w:rPr>
                <w:rFonts w:ascii="宋体" w:hAnsi="宋体"/>
                <w:szCs w:val="21"/>
              </w:rPr>
            </w:pPr>
          </w:p>
        </w:tc>
        <w:tc>
          <w:tcPr>
            <w:tcW w:w="1056"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exact"/>
        </w:trPr>
        <w:tc>
          <w:tcPr>
            <w:tcW w:w="991" w:type="dxa"/>
          </w:tcPr>
          <w:p>
            <w:pPr>
              <w:spacing w:line="360" w:lineRule="auto"/>
              <w:jc w:val="center"/>
              <w:rPr>
                <w:rFonts w:ascii="宋体" w:hAnsi="宋体"/>
                <w:szCs w:val="21"/>
              </w:rPr>
            </w:pPr>
            <w:r>
              <w:rPr>
                <w:rFonts w:hint="eastAsia" w:ascii="宋体" w:hAnsi="宋体"/>
                <w:szCs w:val="21"/>
              </w:rPr>
              <w:t>10</w:t>
            </w:r>
          </w:p>
        </w:tc>
        <w:tc>
          <w:tcPr>
            <w:tcW w:w="1070"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1632" w:type="dxa"/>
          </w:tcPr>
          <w:p>
            <w:pPr>
              <w:spacing w:line="360" w:lineRule="auto"/>
              <w:jc w:val="center"/>
              <w:rPr>
                <w:rFonts w:ascii="宋体" w:hAnsi="宋体"/>
                <w:szCs w:val="21"/>
              </w:rPr>
            </w:pPr>
          </w:p>
        </w:tc>
        <w:tc>
          <w:tcPr>
            <w:tcW w:w="1426" w:type="dxa"/>
          </w:tcPr>
          <w:p>
            <w:pPr>
              <w:spacing w:line="360" w:lineRule="auto"/>
              <w:jc w:val="center"/>
              <w:rPr>
                <w:rFonts w:ascii="宋体" w:hAnsi="宋体"/>
                <w:szCs w:val="21"/>
              </w:rPr>
            </w:pPr>
          </w:p>
        </w:tc>
        <w:tc>
          <w:tcPr>
            <w:tcW w:w="1317" w:type="dxa"/>
          </w:tcPr>
          <w:p>
            <w:pPr>
              <w:spacing w:line="360" w:lineRule="auto"/>
              <w:jc w:val="center"/>
              <w:rPr>
                <w:rFonts w:ascii="宋体" w:hAnsi="宋体"/>
                <w:szCs w:val="21"/>
              </w:rPr>
            </w:pPr>
          </w:p>
        </w:tc>
        <w:tc>
          <w:tcPr>
            <w:tcW w:w="1056"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5" w:hRule="exact"/>
        </w:trPr>
        <w:tc>
          <w:tcPr>
            <w:tcW w:w="991" w:type="dxa"/>
          </w:tcPr>
          <w:p>
            <w:pPr>
              <w:spacing w:line="360" w:lineRule="auto"/>
              <w:jc w:val="center"/>
              <w:rPr>
                <w:rFonts w:ascii="宋体" w:hAnsi="宋体"/>
                <w:szCs w:val="21"/>
              </w:rPr>
            </w:pPr>
            <w:r>
              <w:rPr>
                <w:rFonts w:hint="eastAsia" w:ascii="宋体" w:hAnsi="宋体"/>
                <w:szCs w:val="21"/>
              </w:rPr>
              <w:t>11</w:t>
            </w:r>
          </w:p>
        </w:tc>
        <w:tc>
          <w:tcPr>
            <w:tcW w:w="1070"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932" w:type="dxa"/>
          </w:tcPr>
          <w:p>
            <w:pPr>
              <w:spacing w:line="360" w:lineRule="auto"/>
              <w:jc w:val="center"/>
              <w:rPr>
                <w:rFonts w:ascii="宋体" w:hAnsi="宋体"/>
                <w:szCs w:val="21"/>
              </w:rPr>
            </w:pPr>
          </w:p>
        </w:tc>
        <w:tc>
          <w:tcPr>
            <w:tcW w:w="1632" w:type="dxa"/>
          </w:tcPr>
          <w:p>
            <w:pPr>
              <w:spacing w:line="360" w:lineRule="auto"/>
              <w:jc w:val="center"/>
              <w:rPr>
                <w:rFonts w:ascii="宋体" w:hAnsi="宋体"/>
                <w:szCs w:val="21"/>
              </w:rPr>
            </w:pPr>
          </w:p>
        </w:tc>
        <w:tc>
          <w:tcPr>
            <w:tcW w:w="1426" w:type="dxa"/>
          </w:tcPr>
          <w:p>
            <w:pPr>
              <w:spacing w:line="360" w:lineRule="auto"/>
              <w:jc w:val="center"/>
              <w:rPr>
                <w:rFonts w:ascii="宋体" w:hAnsi="宋体"/>
                <w:szCs w:val="21"/>
              </w:rPr>
            </w:pPr>
          </w:p>
        </w:tc>
        <w:tc>
          <w:tcPr>
            <w:tcW w:w="1317" w:type="dxa"/>
          </w:tcPr>
          <w:p>
            <w:pPr>
              <w:spacing w:line="360" w:lineRule="auto"/>
              <w:jc w:val="center"/>
              <w:rPr>
                <w:rFonts w:ascii="宋体" w:hAnsi="宋体"/>
                <w:szCs w:val="21"/>
              </w:rPr>
            </w:pPr>
          </w:p>
        </w:tc>
        <w:tc>
          <w:tcPr>
            <w:tcW w:w="1056"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exact"/>
        </w:trPr>
        <w:tc>
          <w:tcPr>
            <w:tcW w:w="3925" w:type="dxa"/>
            <w:gridSpan w:val="4"/>
          </w:tcPr>
          <w:p>
            <w:pPr>
              <w:spacing w:line="360" w:lineRule="auto"/>
              <w:jc w:val="center"/>
              <w:rPr>
                <w:rFonts w:ascii="宋体" w:hAnsi="宋体"/>
                <w:szCs w:val="21"/>
              </w:rPr>
            </w:pPr>
            <w:r>
              <w:rPr>
                <w:rFonts w:hint="eastAsia" w:ascii="宋体" w:hAnsi="宋体"/>
                <w:szCs w:val="21"/>
              </w:rPr>
              <w:t>总     价</w:t>
            </w:r>
          </w:p>
        </w:tc>
        <w:tc>
          <w:tcPr>
            <w:tcW w:w="1632" w:type="dxa"/>
            <w:tcBorders>
              <w:top w:val="single" w:color="auto" w:sz="4" w:space="0"/>
            </w:tcBorders>
          </w:tcPr>
          <w:p>
            <w:pPr>
              <w:spacing w:line="360" w:lineRule="auto"/>
              <w:jc w:val="center"/>
              <w:rPr>
                <w:rFonts w:ascii="宋体" w:hAnsi="宋体"/>
                <w:szCs w:val="21"/>
              </w:rPr>
            </w:pPr>
          </w:p>
        </w:tc>
        <w:tc>
          <w:tcPr>
            <w:tcW w:w="1426" w:type="dxa"/>
            <w:tcBorders>
              <w:top w:val="single" w:color="auto" w:sz="4" w:space="0"/>
            </w:tcBorders>
          </w:tcPr>
          <w:p>
            <w:pPr>
              <w:spacing w:line="360" w:lineRule="auto"/>
              <w:jc w:val="center"/>
              <w:rPr>
                <w:rFonts w:ascii="宋体" w:hAnsi="宋体"/>
                <w:szCs w:val="21"/>
              </w:rPr>
            </w:pPr>
          </w:p>
        </w:tc>
        <w:tc>
          <w:tcPr>
            <w:tcW w:w="1317" w:type="dxa"/>
            <w:tcBorders>
              <w:top w:val="single" w:color="auto" w:sz="4" w:space="0"/>
            </w:tcBorders>
          </w:tcPr>
          <w:p>
            <w:pPr>
              <w:spacing w:line="360" w:lineRule="auto"/>
              <w:jc w:val="center"/>
              <w:rPr>
                <w:rFonts w:ascii="宋体" w:hAnsi="宋体"/>
                <w:szCs w:val="21"/>
              </w:rPr>
            </w:pPr>
          </w:p>
        </w:tc>
        <w:tc>
          <w:tcPr>
            <w:tcW w:w="1056" w:type="dxa"/>
          </w:tcPr>
          <w:p>
            <w:pPr>
              <w:spacing w:line="360" w:lineRule="auto"/>
              <w:jc w:val="center"/>
              <w:rPr>
                <w:rFonts w:ascii="宋体" w:hAnsi="宋体"/>
                <w:szCs w:val="21"/>
              </w:rPr>
            </w:pPr>
          </w:p>
        </w:tc>
      </w:tr>
    </w:tbl>
    <w:p>
      <w:pPr>
        <w:spacing w:line="360" w:lineRule="auto"/>
        <w:rPr>
          <w:rFonts w:asciiTheme="minorEastAsia" w:hAnsiTheme="minorEastAsia" w:eastAsiaTheme="minorEastAsia"/>
          <w:szCs w:val="21"/>
        </w:rPr>
      </w:pPr>
    </w:p>
    <w:p>
      <w:pPr>
        <w:spacing w:line="360" w:lineRule="auto"/>
        <w:rPr>
          <w:rFonts w:ascii="宋体" w:hAnsi="宋体"/>
          <w:szCs w:val="21"/>
        </w:rPr>
      </w:pPr>
      <w:r>
        <w:rPr>
          <w:rFonts w:hint="eastAsia" w:ascii="宋体" w:hAnsi="宋体"/>
          <w:szCs w:val="21"/>
        </w:rPr>
        <w:t>注： 1、总报价包含材料费、</w:t>
      </w:r>
      <w:r>
        <w:rPr>
          <w:rFonts w:hint="eastAsia" w:ascii="宋体" w:hAnsi="宋体"/>
          <w:color w:val="FF0000"/>
          <w:szCs w:val="21"/>
        </w:rPr>
        <w:t>安装</w:t>
      </w:r>
      <w:r>
        <w:rPr>
          <w:rFonts w:hint="eastAsia" w:ascii="宋体" w:hAnsi="宋体"/>
          <w:szCs w:val="21"/>
        </w:rPr>
        <w:t>费、到交货地点的运保费</w:t>
      </w:r>
      <w:r>
        <w:rPr>
          <w:rFonts w:hint="eastAsia" w:ascii="宋体" w:hAnsi="宋体"/>
          <w:color w:val="FF0000"/>
          <w:szCs w:val="21"/>
        </w:rPr>
        <w:t>、税金、</w:t>
      </w:r>
      <w:r>
        <w:rPr>
          <w:rFonts w:hint="eastAsia" w:ascii="宋体" w:hAnsi="宋体"/>
          <w:color w:val="000000" w:themeColor="text1"/>
          <w:szCs w:val="21"/>
          <w14:textFill>
            <w14:solidFill>
              <w14:schemeClr w14:val="tx1"/>
            </w14:solidFill>
          </w14:textFill>
        </w:rPr>
        <w:t>为期两年维保费</w:t>
      </w:r>
      <w:r>
        <w:rPr>
          <w:rFonts w:hint="eastAsia" w:ascii="宋体" w:hAnsi="宋体"/>
          <w:szCs w:val="21"/>
        </w:rPr>
        <w:t>等相关费用及投标人认为需要的其它所有费用。</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供应商全称（盖章）：</w:t>
      </w:r>
    </w:p>
    <w:p>
      <w:pPr>
        <w:spacing w:line="360" w:lineRule="auto"/>
        <w:rPr>
          <w:rFonts w:ascii="宋体" w:hAnsi="宋体"/>
          <w:szCs w:val="21"/>
        </w:rPr>
      </w:pPr>
      <w:r>
        <w:rPr>
          <w:rFonts w:hint="eastAsia" w:ascii="宋体" w:hAnsi="宋体"/>
          <w:szCs w:val="21"/>
        </w:rPr>
        <w:t>供应商授权代表签字：</w:t>
      </w:r>
    </w:p>
    <w:p>
      <w:pPr>
        <w:spacing w:line="360" w:lineRule="auto"/>
        <w:ind w:firstLine="105" w:firstLineChars="50"/>
        <w:rPr>
          <w:rFonts w:asciiTheme="minorEastAsia" w:hAnsiTheme="minorEastAsia" w:eastAsiaTheme="minorEastAsia"/>
          <w:szCs w:val="21"/>
        </w:rPr>
      </w:pPr>
    </w:p>
    <w:p>
      <w:pPr>
        <w:autoSpaceDE w:val="0"/>
        <w:autoSpaceDN w:val="0"/>
        <w:adjustRightInd w:val="0"/>
        <w:snapToGrid w:val="0"/>
        <w:spacing w:line="360" w:lineRule="auto"/>
        <w:jc w:val="center"/>
        <w:outlineLvl w:val="1"/>
        <w:rPr>
          <w:rFonts w:ascii="楷体_GB2312" w:hAnsi="宋体" w:eastAsia="楷体_GB2312"/>
          <w:b/>
          <w:spacing w:val="8"/>
          <w:kern w:val="0"/>
          <w:szCs w:val="21"/>
        </w:rPr>
      </w:pPr>
    </w:p>
    <w:p>
      <w:pPr>
        <w:adjustRightInd w:val="0"/>
        <w:snapToGrid w:val="0"/>
        <w:spacing w:line="360" w:lineRule="auto"/>
        <w:rPr>
          <w:rFonts w:ascii="宋体" w:hAnsi="宋体"/>
          <w:b/>
          <w:kern w:val="0"/>
          <w:szCs w:val="21"/>
        </w:rPr>
      </w:pPr>
    </w:p>
    <w:p>
      <w:pPr>
        <w:widowControl/>
        <w:spacing w:line="360" w:lineRule="auto"/>
        <w:jc w:val="left"/>
        <w:rPr>
          <w:rFonts w:ascii="宋体" w:hAnsi="宋体"/>
          <w:b/>
          <w:kern w:val="0"/>
          <w:szCs w:val="21"/>
        </w:rPr>
      </w:pPr>
      <w:r>
        <w:rPr>
          <w:rFonts w:ascii="宋体" w:hAnsi="宋体"/>
          <w:b/>
          <w:kern w:val="0"/>
          <w:szCs w:val="21"/>
        </w:rPr>
        <w:br w:type="page"/>
      </w:r>
    </w:p>
    <w:p>
      <w:pPr>
        <w:widowControl/>
        <w:spacing w:line="360" w:lineRule="auto"/>
        <w:jc w:val="left"/>
        <w:rPr>
          <w:rFonts w:ascii="宋体" w:hAnsi="宋体"/>
          <w:b/>
          <w:kern w:val="0"/>
          <w:szCs w:val="21"/>
        </w:rPr>
      </w:pPr>
    </w:p>
    <w:p>
      <w:pPr>
        <w:spacing w:line="360" w:lineRule="auto"/>
        <w:rPr>
          <w:rFonts w:ascii="宋体" w:hAnsi="宋体"/>
          <w:szCs w:val="21"/>
        </w:rPr>
      </w:pPr>
      <w:bookmarkStart w:id="0" w:name="_Toc307234742"/>
      <w:bookmarkStart w:id="1" w:name="_Toc347315619"/>
      <w:bookmarkStart w:id="2" w:name="_Toc335380759"/>
      <w:bookmarkStart w:id="3" w:name="_Toc314140459"/>
      <w:bookmarkStart w:id="4" w:name="_Toc313883688"/>
      <w:bookmarkStart w:id="5" w:name="_Toc152045771"/>
      <w:bookmarkStart w:id="6" w:name="_Toc179632788"/>
      <w:bookmarkStart w:id="7" w:name="_Toc335317630"/>
      <w:bookmarkStart w:id="8" w:name="_Toc308628777"/>
      <w:bookmarkStart w:id="9" w:name="_Toc306955560"/>
      <w:bookmarkStart w:id="10" w:name="_Toc363637507"/>
      <w:bookmarkStart w:id="11" w:name="_Toc314140587"/>
      <w:bookmarkStart w:id="12" w:name="_Toc295140406"/>
      <w:bookmarkStart w:id="13" w:name="_Toc152042553"/>
      <w:bookmarkStart w:id="14" w:name="_Toc308692771"/>
      <w:bookmarkStart w:id="15" w:name="_Toc313093022"/>
      <w:bookmarkStart w:id="16" w:name="_Toc329972061"/>
      <w:bookmarkStart w:id="17" w:name="_Toc320696270"/>
      <w:bookmarkStart w:id="18" w:name="_Toc335317525"/>
      <w:bookmarkStart w:id="19" w:name="_Toc308628864"/>
      <w:bookmarkStart w:id="20" w:name="_Toc144974833"/>
      <w:r>
        <w:rPr>
          <w:rFonts w:hint="eastAsia" w:ascii="宋体" w:hAnsi="宋体"/>
          <w:szCs w:val="21"/>
        </w:rPr>
        <w:t>三、营业执照和资质证书复印件（复印件加盖公章，原件备查）</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spacing w:line="360" w:lineRule="auto"/>
        <w:rPr>
          <w:rFonts w:ascii="宋体" w:hAnsi="宋体"/>
          <w:szCs w:val="21"/>
        </w:rPr>
      </w:pPr>
      <w:r>
        <w:rPr>
          <w:rFonts w:hint="eastAsia" w:ascii="宋体" w:hAnsi="宋体"/>
          <w:szCs w:val="21"/>
        </w:rPr>
        <w:t>四、业绩证明材料（复印件加盖公章，原件备查）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五、报价人认为应提交的其它材料</w:t>
      </w:r>
    </w:p>
    <w:p>
      <w:pPr>
        <w:spacing w:line="360" w:lineRule="auto"/>
        <w:rPr>
          <w:rFonts w:ascii="宋体" w:hAnsi="宋体"/>
          <w:szCs w:val="21"/>
        </w:rPr>
      </w:pPr>
    </w:p>
    <w:p>
      <w:pPr>
        <w:spacing w:line="360" w:lineRule="auto"/>
        <w:rPr>
          <w:rFonts w:ascii="宋体" w:hAnsi="宋体"/>
          <w:szCs w:val="21"/>
        </w:rPr>
      </w:pPr>
    </w:p>
    <w:p>
      <w:pPr>
        <w:widowControl/>
        <w:jc w:val="left"/>
        <w:rPr>
          <w:rFonts w:ascii="宋体" w:hAnsi="宋体" w:cs="Helvetica"/>
          <w:color w:val="000000"/>
          <w:kern w:val="0"/>
          <w:sz w:val="24"/>
        </w:rPr>
      </w:pPr>
      <w:r>
        <w:rPr>
          <w:rFonts w:ascii="宋体" w:hAnsi="宋体" w:cs="Helvetica"/>
          <w:color w:val="000000"/>
          <w:kern w:val="0"/>
          <w:sz w:val="24"/>
        </w:rPr>
        <w:br w:type="textWrapping"/>
      </w: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hint="eastAsia" w:ascii="宋体" w:hAnsi="宋体" w:cs="Helvetica"/>
          <w:color w:val="000000"/>
          <w:kern w:val="0"/>
          <w:sz w:val="24"/>
          <w:lang w:val="en-US" w:eastAsia="zh-CN"/>
        </w:rPr>
      </w:pPr>
      <w:r>
        <w:rPr>
          <w:rFonts w:hint="eastAsia" w:ascii="宋体" w:hAnsi="宋体" w:cs="Helvetica"/>
          <w:color w:val="000000"/>
          <w:kern w:val="0"/>
          <w:sz w:val="24"/>
          <w:lang w:val="en-US" w:eastAsia="zh-CN"/>
        </w:rPr>
        <w:t>合同范本：</w:t>
      </w:r>
    </w:p>
    <w:p>
      <w:pPr>
        <w:jc w:val="center"/>
        <w:rPr>
          <w:rFonts w:ascii="黑体" w:hAnsi="黑体" w:eastAsia="黑体" w:cs="黑体"/>
          <w:sz w:val="36"/>
          <w:szCs w:val="36"/>
        </w:rPr>
      </w:pPr>
      <w:bookmarkStart w:id="21" w:name="_Hlk114211493"/>
      <w:r>
        <w:rPr>
          <w:rFonts w:hint="eastAsia" w:ascii="黑体" w:hAnsi="黑体" w:eastAsia="黑体" w:cs="黑体"/>
          <w:sz w:val="36"/>
          <w:szCs w:val="36"/>
        </w:rPr>
        <w:t>扬州泰州国际机场道路监控维修维保</w:t>
      </w:r>
    </w:p>
    <w:bookmarkEnd w:id="21"/>
    <w:p>
      <w:pPr>
        <w:jc w:val="center"/>
        <w:rPr>
          <w:rFonts w:ascii="黑体" w:hAnsi="黑体" w:eastAsia="黑体" w:cs="黑体"/>
          <w:sz w:val="36"/>
          <w:szCs w:val="36"/>
        </w:rPr>
      </w:pPr>
      <w:r>
        <w:rPr>
          <w:rFonts w:hint="eastAsia" w:ascii="黑体" w:hAnsi="黑体" w:eastAsia="黑体" w:cs="黑体"/>
          <w:sz w:val="36"/>
          <w:szCs w:val="36"/>
        </w:rPr>
        <w:t>项目合同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委托方（甲方）：扬州泰州国际机场投资建设有限责任公司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服务方（乙方）：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sz w:val="24"/>
        </w:rPr>
      </w:pPr>
      <w:r>
        <w:rPr>
          <w:rFonts w:hint="eastAsia" w:cs="仿宋" w:asciiTheme="minorEastAsia" w:hAnsiTheme="minorEastAsia" w:eastAsiaTheme="minorEastAsia"/>
          <w:sz w:val="24"/>
        </w:rPr>
        <w:t xml:space="preserve">甲、乙双方根据《中华人民共和国民法典》之规定，本着友好合作、协商一致的原则，达成如下合同：     </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仿宋"/>
          <w:b/>
          <w:bCs/>
          <w:sz w:val="28"/>
          <w:szCs w:val="28"/>
        </w:rPr>
      </w:pPr>
      <w:r>
        <w:rPr>
          <w:rFonts w:hint="eastAsia" w:ascii="宋体" w:hAnsi="宋体" w:cs="仿宋"/>
          <w:b/>
          <w:bCs/>
          <w:sz w:val="28"/>
          <w:szCs w:val="28"/>
        </w:rPr>
        <w:t>一、设备物资清单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详见附件三。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仿宋"/>
          <w:b/>
          <w:bCs/>
          <w:sz w:val="28"/>
          <w:szCs w:val="28"/>
        </w:rPr>
      </w:pPr>
      <w:r>
        <w:rPr>
          <w:rFonts w:hint="eastAsia" w:ascii="宋体" w:hAnsi="宋体" w:cs="仿宋"/>
          <w:b/>
          <w:bCs/>
          <w:sz w:val="28"/>
          <w:szCs w:val="28"/>
        </w:rPr>
        <w:t>二、承包方式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包工、包料、包施工全过程。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仿宋"/>
          <w:b/>
          <w:bCs/>
          <w:sz w:val="28"/>
          <w:szCs w:val="28"/>
        </w:rPr>
      </w:pPr>
      <w:r>
        <w:rPr>
          <w:rFonts w:hint="eastAsia" w:ascii="宋体" w:hAnsi="宋体" w:cs="仿宋"/>
          <w:b/>
          <w:bCs/>
          <w:sz w:val="28"/>
          <w:szCs w:val="28"/>
        </w:rPr>
        <w:t>三、施工工期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合同生效，接到甲方施工通知后，30个日历日内完成。</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仿宋"/>
          <w:b/>
          <w:bCs/>
          <w:sz w:val="28"/>
          <w:szCs w:val="28"/>
        </w:rPr>
      </w:pPr>
      <w:r>
        <w:rPr>
          <w:rFonts w:hint="eastAsia" w:ascii="宋体" w:hAnsi="宋体" w:cs="仿宋"/>
          <w:b/>
          <w:bCs/>
          <w:sz w:val="28"/>
          <w:szCs w:val="28"/>
        </w:rPr>
        <w:t>四、工程造价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eastAsiaTheme="minorEastAsia"/>
          <w:sz w:val="24"/>
        </w:rPr>
      </w:pPr>
      <w:r>
        <w:rPr>
          <w:rFonts w:hint="eastAsia" w:cs="仿宋" w:asciiTheme="minorEastAsia" w:hAnsiTheme="minorEastAsia" w:eastAsiaTheme="minorEastAsia"/>
          <w:sz w:val="24"/>
        </w:rPr>
        <w:t>1.本工程中标价人民币</w:t>
      </w:r>
      <w:r>
        <w:rPr>
          <w:rFonts w:hint="eastAsia" w:cs="仿宋" w:asciiTheme="minorEastAsia" w:hAnsiTheme="minorEastAsia" w:eastAsiaTheme="minorEastAsia"/>
          <w:sz w:val="24"/>
          <w:lang w:eastAsia="zh-CN"/>
        </w:rPr>
        <w:t>（含税）</w:t>
      </w:r>
      <w:r>
        <w:rPr>
          <w:rFonts w:hint="eastAsia" w:cs="仿宋" w:asciiTheme="minorEastAsia" w:hAnsiTheme="minorEastAsia" w:eastAsiaTheme="minorEastAsia"/>
          <w:sz w:val="24"/>
        </w:rPr>
        <w:t>：</w:t>
      </w:r>
      <w:r>
        <w:rPr>
          <w:rFonts w:cs="仿宋" w:asciiTheme="minorEastAsia" w:hAnsiTheme="minorEastAsia" w:eastAsiaTheme="minorEastAsia"/>
          <w:sz w:val="24"/>
          <w:u w:val="single"/>
        </w:rPr>
        <w:t xml:space="preserve">        </w:t>
      </w:r>
      <w:r>
        <w:rPr>
          <w:rFonts w:hint="eastAsia" w:cs="宋体" w:asciiTheme="minorEastAsia" w:hAnsiTheme="minorEastAsia" w:eastAsiaTheme="minorEastAsia"/>
          <w:b/>
          <w:bCs/>
          <w:color w:val="000000"/>
          <w:kern w:val="0"/>
          <w:szCs w:val="21"/>
        </w:rPr>
        <w:t>（小写）</w:t>
      </w:r>
      <w:r>
        <w:rPr>
          <w:rFonts w:hint="eastAsia" w:cs="宋体" w:asciiTheme="minorEastAsia" w:hAnsiTheme="minorEastAsia" w:eastAsiaTheme="minorEastAsia"/>
          <w:b/>
          <w:bCs/>
          <w:color w:val="000000"/>
          <w:kern w:val="0"/>
          <w:szCs w:val="21"/>
          <w:u w:val="single"/>
        </w:rPr>
        <w:t xml:space="preserve"> </w:t>
      </w:r>
      <w:r>
        <w:rPr>
          <w:rFonts w:cs="宋体" w:asciiTheme="minorEastAsia" w:hAnsiTheme="minorEastAsia" w:eastAsiaTheme="minorEastAsia"/>
          <w:b/>
          <w:bCs/>
          <w:color w:val="000000"/>
          <w:kern w:val="0"/>
          <w:szCs w:val="21"/>
          <w:u w:val="single"/>
        </w:rPr>
        <w:t xml:space="preserve">      </w:t>
      </w:r>
      <w:r>
        <w:rPr>
          <w:rFonts w:hint="eastAsia" w:cs="宋体" w:asciiTheme="minorEastAsia" w:hAnsiTheme="minorEastAsia" w:eastAsiaTheme="minorEastAsia"/>
          <w:b/>
          <w:bCs/>
          <w:color w:val="000000"/>
          <w:kern w:val="0"/>
          <w:szCs w:val="21"/>
        </w:rPr>
        <w:t>（大写），</w:t>
      </w:r>
      <w:r>
        <w:rPr>
          <w:rFonts w:hint="eastAsia" w:cs="仿宋" w:asciiTheme="minorEastAsia" w:hAnsiTheme="minorEastAsia" w:eastAsiaTheme="minorEastAsia"/>
          <w:sz w:val="24"/>
        </w:rPr>
        <w:t>税率：</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，不含税价：</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税金</w:t>
      </w:r>
      <w:r>
        <w:rPr>
          <w:rFonts w:hint="eastAsia" w:cs="仿宋" w:asciiTheme="minorEastAsia" w:hAnsiTheme="minorEastAsia" w:eastAsiaTheme="minorEastAsia"/>
          <w:sz w:val="24"/>
          <w:u w:val="single"/>
          <w:lang w:val="en-US" w:eastAsia="zh-CN"/>
        </w:rPr>
        <w:t xml:space="preserve">    </w:t>
      </w:r>
      <w:r>
        <w:rPr>
          <w:rFonts w:hint="eastAsia" w:cs="仿宋" w:asciiTheme="minorEastAsia" w:hAnsiTheme="minorEastAsia" w:eastAsiaTheme="minorEastAsia"/>
          <w:sz w:val="24"/>
          <w:lang w:val="en-US" w:eastAsia="zh-CN"/>
        </w:rPr>
        <w:t>。</w:t>
      </w:r>
      <w:r>
        <w:rPr>
          <w:rFonts w:hint="eastAsia" w:cs="仿宋" w:asciiTheme="minorEastAsia" w:hAnsiTheme="minorEastAsia" w:eastAsiaTheme="minorEastAsia"/>
          <w:sz w:val="24"/>
        </w:rPr>
        <w:t>其中：道路视频监控系统维修改造费用：</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万元，维保费：</w:t>
      </w:r>
      <w:r>
        <w:rPr>
          <w:rFonts w:hint="eastAsia" w:cs="仿宋" w:asciiTheme="minorEastAsia" w:hAnsiTheme="minorEastAsia" w:eastAsiaTheme="minorEastAsia"/>
          <w:sz w:val="24"/>
          <w:u w:val="single"/>
        </w:rPr>
        <w:t xml:space="preserve"> </w:t>
      </w:r>
      <w:r>
        <w:rPr>
          <w:rFonts w:cs="仿宋" w:asciiTheme="minorEastAsia" w:hAnsiTheme="minorEastAsia" w:eastAsiaTheme="minorEastAsia"/>
          <w:sz w:val="24"/>
          <w:u w:val="single"/>
        </w:rPr>
        <w:t xml:space="preserve">    </w:t>
      </w:r>
      <w:r>
        <w:rPr>
          <w:rFonts w:hint="eastAsia" w:cs="仿宋" w:asciiTheme="minorEastAsia" w:hAnsiTheme="minorEastAsia" w:eastAsiaTheme="minorEastAsia"/>
          <w:sz w:val="24"/>
        </w:rPr>
        <w:t>万元，计2年。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cs="仿宋" w:asciiTheme="minorEastAsia" w:hAnsiTheme="minorEastAsia" w:eastAsiaTheme="minorEastAsia"/>
          <w:sz w:val="24"/>
          <w:lang w:val="en-US" w:eastAsia="zh-CN"/>
        </w:rPr>
        <w:t>2.</w:t>
      </w:r>
      <w:r>
        <w:rPr>
          <w:rFonts w:hint="eastAsia"/>
          <w:sz w:val="24"/>
          <w:szCs w:val="24"/>
        </w:rPr>
        <w:t>道路视频监控系统维修改造：含税金、设备、运输、施工、安装调试等完成该项目的所有费用及质保。为期两年的维保：包括机场道路视频监控全系统的日常维护、定期保养、维修</w:t>
      </w:r>
      <w:r>
        <w:rPr>
          <w:rFonts w:hint="eastAsia"/>
          <w:sz w:val="24"/>
          <w:szCs w:val="24"/>
          <w:lang w:eastAsia="zh-CN"/>
        </w:rPr>
        <w:t>，配件更换（包</w:t>
      </w:r>
      <w:r>
        <w:rPr>
          <w:rFonts w:hint="eastAsia"/>
          <w:sz w:val="24"/>
          <w:szCs w:val="24"/>
        </w:rPr>
        <w:t>含前端箱体内配件</w:t>
      </w:r>
      <w:r>
        <w:rPr>
          <w:rFonts w:hint="eastAsia"/>
          <w:sz w:val="24"/>
          <w:szCs w:val="24"/>
          <w:lang w:eastAsia="zh-CN"/>
        </w:rPr>
        <w:t>更换</w:t>
      </w:r>
      <w:r>
        <w:rPr>
          <w:rFonts w:hint="eastAsia"/>
          <w:sz w:val="24"/>
          <w:szCs w:val="24"/>
        </w:rPr>
        <w:t>如：摄像机电源，箱体内的交换机，各类网络、光纤跳线（长度不超过10米）等</w:t>
      </w:r>
      <w:r>
        <w:rPr>
          <w:rFonts w:hint="eastAsia"/>
          <w:sz w:val="24"/>
          <w:szCs w:val="24"/>
          <w:lang w:eastAsia="zh-CN"/>
        </w:rPr>
        <w:t>，</w:t>
      </w:r>
      <w:r>
        <w:rPr>
          <w:rFonts w:hint="eastAsia"/>
          <w:sz w:val="24"/>
          <w:szCs w:val="24"/>
        </w:rPr>
        <w:t>不包含摄像头及其后端设备</w:t>
      </w:r>
      <w:r>
        <w:rPr>
          <w:rFonts w:hint="eastAsia"/>
          <w:sz w:val="24"/>
          <w:szCs w:val="24"/>
          <w:lang w:eastAsia="zh-CN"/>
        </w:rPr>
        <w:t>的损坏更换）</w:t>
      </w:r>
      <w:r>
        <w:rPr>
          <w:rFonts w:hint="eastAsia"/>
          <w:sz w:val="24"/>
          <w:szCs w:val="24"/>
        </w:rPr>
        <w:t>、保障监控系统正常运转。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.本工程价格中包含了为完成工程全部施工项目所应包含的所有费用。乙方施工前，应提供施工图纸及完整的施工方案，经甲方确认后方可实施</w:t>
      </w:r>
      <w:r>
        <w:rPr>
          <w:rFonts w:hint="eastAsia" w:cs="仿宋" w:asciiTheme="minorEastAsia" w:hAnsiTheme="minorEastAsia" w:eastAsiaTheme="minorEastAsia"/>
          <w:sz w:val="24"/>
          <w:lang w:eastAsia="zh-CN"/>
        </w:rPr>
        <w:t>，并包含为期</w:t>
      </w:r>
      <w:r>
        <w:rPr>
          <w:rFonts w:hint="eastAsia" w:cs="仿宋" w:asciiTheme="minorEastAsia" w:hAnsiTheme="minorEastAsia" w:eastAsiaTheme="minorEastAsia"/>
          <w:sz w:val="24"/>
          <w:lang w:val="en-US" w:eastAsia="zh-CN"/>
        </w:rPr>
        <w:t>2年的机场道路监控全系统维保（包括但不局限于所施工内容）。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sz w:val="32"/>
          <w:szCs w:val="32"/>
        </w:rPr>
      </w:pP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 xml:space="preserve">.本工程结算审定价原则不较中标价作上调。如因甲方变更，乙方在原投标项目单价不变的基础上，可作相应的费用调整，以实际发生的工程量做最终结算。    </w:t>
      </w:r>
      <w:r>
        <w:rPr>
          <w:rFonts w:hint="eastAsia" w:ascii="仿宋" w:hAnsi="仿宋" w:eastAsia="仿宋" w:cs="仿宋"/>
          <w:sz w:val="28"/>
          <w:szCs w:val="28"/>
        </w:rPr>
        <w:t xml:space="preserve">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仿宋"/>
          <w:b/>
          <w:bCs/>
          <w:sz w:val="28"/>
          <w:szCs w:val="28"/>
        </w:rPr>
      </w:pPr>
      <w:r>
        <w:rPr>
          <w:rFonts w:hint="eastAsia" w:ascii="宋体" w:hAnsi="宋体" w:cs="仿宋"/>
          <w:b/>
          <w:bCs/>
          <w:sz w:val="28"/>
          <w:szCs w:val="28"/>
        </w:rPr>
        <w:t>五、工程内容和质量考核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工程内容详见招标文件，投标文件与招标文件有不符之处，甲方有权要求乙方按招标文件执行；按现行的建筑工程质量验收标准验收</w:t>
      </w:r>
      <w:r>
        <w:rPr>
          <w:rFonts w:hint="eastAsia" w:cs="仿宋" w:asciiTheme="minorEastAsia" w:hAnsiTheme="minorEastAsia" w:eastAsiaTheme="minorEastAsia"/>
          <w:sz w:val="24"/>
          <w:lang w:eastAsia="zh-CN"/>
        </w:rPr>
        <w:t>达合格标准，如验收不合格，甲方有权要求乙方整改达合格标准，并由乙方承担相关损失</w:t>
      </w: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eastAsia="zh-CN"/>
        </w:rPr>
        <w:t>验收后</w:t>
      </w:r>
      <w:r>
        <w:rPr>
          <w:rFonts w:hint="eastAsia" w:cs="仿宋" w:asciiTheme="minorEastAsia" w:hAnsiTheme="minorEastAsia" w:eastAsiaTheme="minorEastAsia"/>
          <w:sz w:val="24"/>
        </w:rPr>
        <w:t>每半年进行一次考核：设备使用正常、维保记录齐全、响应时间不大于2小时、维修及故障排除时间不超过8小时，任何一项考核不合格，一次处罚200元，处罚扣款在质保期</w:t>
      </w:r>
      <w:r>
        <w:rPr>
          <w:rFonts w:hint="eastAsia" w:cs="仿宋" w:asciiTheme="minorEastAsia" w:hAnsiTheme="minorEastAsia" w:eastAsiaTheme="minorEastAsia"/>
          <w:sz w:val="24"/>
          <w:lang w:val="en-US" w:eastAsia="zh-CN"/>
        </w:rPr>
        <w:t>/维保期</w:t>
      </w:r>
      <w:r>
        <w:rPr>
          <w:rFonts w:hint="eastAsia" w:cs="仿宋" w:asciiTheme="minorEastAsia" w:hAnsiTheme="minorEastAsia" w:eastAsiaTheme="minorEastAsia"/>
          <w:sz w:val="24"/>
        </w:rPr>
        <w:t>到期前从质保金</w:t>
      </w:r>
      <w:r>
        <w:rPr>
          <w:rFonts w:hint="eastAsia" w:cs="仿宋" w:asciiTheme="minorEastAsia" w:hAnsiTheme="minorEastAsia" w:eastAsiaTheme="minorEastAsia"/>
          <w:sz w:val="24"/>
          <w:lang w:val="en-US" w:eastAsia="zh-CN"/>
        </w:rPr>
        <w:t>/维保金</w:t>
      </w:r>
      <w:r>
        <w:rPr>
          <w:rFonts w:hint="eastAsia" w:cs="仿宋" w:asciiTheme="minorEastAsia" w:hAnsiTheme="minorEastAsia" w:eastAsiaTheme="minorEastAsia"/>
          <w:sz w:val="24"/>
        </w:rPr>
        <w:t>中一次性扣除，处罚超出质保金的需补齐扣款。</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仿宋"/>
          <w:b/>
          <w:bCs/>
          <w:sz w:val="28"/>
          <w:szCs w:val="28"/>
        </w:rPr>
      </w:pPr>
      <w:r>
        <w:rPr>
          <w:rFonts w:hint="eastAsia" w:ascii="宋体" w:hAnsi="宋体" w:cs="仿宋"/>
          <w:b/>
          <w:bCs/>
          <w:sz w:val="28"/>
          <w:szCs w:val="28"/>
        </w:rPr>
        <w:t>六、工程付款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工程竣工验收合格付至道路视频监控系统维修改造合同价的80</w:t>
      </w:r>
      <w:r>
        <w:rPr>
          <w:rFonts w:cs="仿宋" w:asciiTheme="minorEastAsia" w:hAnsiTheme="minorEastAsia" w:eastAsiaTheme="minorEastAsia"/>
          <w:sz w:val="24"/>
        </w:rPr>
        <w:t>%</w:t>
      </w:r>
      <w:r>
        <w:rPr>
          <w:rFonts w:hint="eastAsia" w:cs="仿宋" w:asciiTheme="minorEastAsia" w:hAnsiTheme="minorEastAsia" w:eastAsiaTheme="minorEastAsia"/>
          <w:sz w:val="24"/>
        </w:rPr>
        <w:t>，工程结算报告经甲方造价审核部门审定并提供审定价全额增值税专用发票后</w:t>
      </w:r>
      <w:r>
        <w:rPr>
          <w:rFonts w:cs="仿宋" w:asciiTheme="minorEastAsia" w:hAnsiTheme="minorEastAsia" w:eastAsiaTheme="minorEastAsia"/>
          <w:sz w:val="24"/>
        </w:rPr>
        <w:t>1</w:t>
      </w:r>
      <w:r>
        <w:rPr>
          <w:rFonts w:hint="eastAsia" w:cs="仿宋" w:asciiTheme="minorEastAsia" w:hAnsiTheme="minorEastAsia" w:eastAsiaTheme="minorEastAsia"/>
          <w:sz w:val="24"/>
        </w:rPr>
        <w:t>周内支付至审定价的</w:t>
      </w:r>
      <w:r>
        <w:rPr>
          <w:rFonts w:cs="仿宋" w:asciiTheme="minorEastAsia" w:hAnsiTheme="minorEastAsia" w:eastAsiaTheme="minorEastAsia"/>
          <w:sz w:val="24"/>
        </w:rPr>
        <w:t>95%</w:t>
      </w:r>
      <w:r>
        <w:rPr>
          <w:rFonts w:hint="eastAsia" w:cs="仿宋" w:asciiTheme="minorEastAsia" w:hAnsiTheme="minorEastAsia" w:eastAsiaTheme="minorEastAsia"/>
          <w:sz w:val="24"/>
        </w:rPr>
        <w:t>，审定价</w:t>
      </w:r>
      <w:r>
        <w:rPr>
          <w:rFonts w:cs="仿宋" w:asciiTheme="minorEastAsia" w:hAnsiTheme="minorEastAsia" w:eastAsiaTheme="minorEastAsia"/>
          <w:sz w:val="24"/>
        </w:rPr>
        <w:t>5%</w:t>
      </w:r>
      <w:r>
        <w:rPr>
          <w:rFonts w:hint="eastAsia" w:cs="仿宋" w:asciiTheme="minorEastAsia" w:hAnsiTheme="minorEastAsia" w:eastAsiaTheme="minorEastAsia"/>
          <w:sz w:val="24"/>
        </w:rPr>
        <w:t>余款质保期满无质量问题支付（无息）。维保费按年支付，乙方完成一年的维保工作，经甲方考核合格，支付本年度的维保费用。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合同执行过程中，如国家税收政策发生变化，合同涉及到的价款及增值税等相关税费，以合同中的合同价款、税率计算出不含税价款，并按照国家执行的新税率计算出税额，如结算金额按合同价款除以(1+合同约定的开票税率)乘以(1+国家执行的新开票税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仿宋"/>
          <w:b/>
          <w:bCs/>
          <w:sz w:val="28"/>
          <w:szCs w:val="28"/>
        </w:rPr>
      </w:pPr>
      <w:r>
        <w:rPr>
          <w:rFonts w:hint="eastAsia" w:ascii="宋体" w:hAnsi="宋体" w:cs="仿宋"/>
          <w:b/>
          <w:bCs/>
          <w:sz w:val="28"/>
          <w:szCs w:val="28"/>
        </w:rPr>
        <w:t>七、施工安全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1.乙方严格按建筑施工操作规范施工，动火作业应有消防保护措施。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2.乙方因违反施工操作规程而引发的一切安全事故，由乙方负全责。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3.乙方必须严格遵守甲方有关管理规定，如有违反，由乙方负全责，接受甲方处罚。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仿宋"/>
          <w:b/>
          <w:bCs/>
          <w:sz w:val="28"/>
          <w:szCs w:val="28"/>
        </w:rPr>
      </w:pPr>
      <w:r>
        <w:rPr>
          <w:rFonts w:hint="eastAsia" w:ascii="宋体" w:hAnsi="宋体" w:cs="仿宋"/>
          <w:b/>
          <w:bCs/>
          <w:sz w:val="28"/>
          <w:szCs w:val="28"/>
        </w:rPr>
        <w:t>八、工程验收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1.隐蔽工程及时报验，甲方同意后进行下步工序。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2.乙方工程竣工后向甲方提供工程验收申请报告。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3.甲方接到乙方工程验收申请报告后及时组织验收。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4.乙方须保证项目符合扬州泰州国际机场道路监控维修维保的相关要求，甲方有权对不合格分项不给予验收，乙方无条件返工，直至合格。</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仿宋"/>
          <w:b/>
          <w:bCs/>
          <w:sz w:val="28"/>
          <w:szCs w:val="28"/>
        </w:rPr>
      </w:pPr>
      <w:r>
        <w:rPr>
          <w:rFonts w:hint="eastAsia" w:ascii="宋体" w:hAnsi="宋体" w:cs="仿宋"/>
          <w:b/>
          <w:bCs/>
          <w:sz w:val="28"/>
          <w:szCs w:val="28"/>
        </w:rPr>
        <w:t>九、工程保修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rPr>
        <w:t xml:space="preserve">本项目质保期为 </w:t>
      </w:r>
      <w:r>
        <w:rPr>
          <w:rFonts w:hint="eastAsia" w:cs="仿宋" w:asciiTheme="minorEastAsia" w:hAnsiTheme="minorEastAsia" w:eastAsiaTheme="minorEastAsia"/>
          <w:sz w:val="24"/>
          <w:u w:val="single"/>
        </w:rPr>
        <w:t>_</w:t>
      </w:r>
      <w:r>
        <w:rPr>
          <w:rFonts w:hint="eastAsia" w:cs="仿宋" w:asciiTheme="minorEastAsia" w:hAnsiTheme="minorEastAsia" w:eastAsiaTheme="minorEastAsia"/>
          <w:sz w:val="24"/>
          <w:u w:val="single"/>
          <w:lang w:eastAsia="zh-CN"/>
        </w:rPr>
        <w:t>壹</w:t>
      </w:r>
      <w:r>
        <w:rPr>
          <w:rFonts w:hint="eastAsia" w:cs="仿宋" w:asciiTheme="minorEastAsia" w:hAnsiTheme="minorEastAsia" w:eastAsiaTheme="minorEastAsia"/>
          <w:sz w:val="24"/>
          <w:u w:val="single"/>
        </w:rPr>
        <w:t>_</w:t>
      </w:r>
      <w:r>
        <w:rPr>
          <w:rFonts w:hint="eastAsia" w:cs="仿宋" w:asciiTheme="minorEastAsia" w:hAnsiTheme="minorEastAsia" w:eastAsiaTheme="minorEastAsia"/>
          <w:sz w:val="24"/>
        </w:rPr>
        <w:t>年，从项目验收合格之日算起。属于质保范围和内容的，投标人应在接到修理通知之时后24小时内派人到场免费维修。乙方不在约定期限内派人维修，甲方可委托其他人员维修，维修费用从质量质保金内扣除。</w:t>
      </w:r>
      <w:r>
        <w:rPr>
          <w:rFonts w:hint="eastAsia" w:cs="仿宋" w:asciiTheme="minorEastAsia" w:hAnsiTheme="minorEastAsia" w:eastAsiaTheme="minorEastAsia"/>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乙方同时负责</w:t>
      </w:r>
      <w:r>
        <w:rPr>
          <w:rFonts w:hint="eastAsia" w:cs="仿宋" w:asciiTheme="minorEastAsia" w:hAnsiTheme="minorEastAsia" w:eastAsiaTheme="minorEastAsia"/>
          <w:sz w:val="24"/>
          <w:lang w:eastAsia="zh-CN"/>
        </w:rPr>
        <w:t>为期</w:t>
      </w:r>
      <w:r>
        <w:rPr>
          <w:rFonts w:hint="eastAsia" w:cs="仿宋" w:asciiTheme="minorEastAsia" w:hAnsiTheme="minorEastAsia" w:eastAsiaTheme="minorEastAsia"/>
          <w:sz w:val="24"/>
          <w:u w:val="single"/>
          <w:lang w:val="en-US" w:eastAsia="zh-CN"/>
        </w:rPr>
        <w:t>贰</w:t>
      </w:r>
      <w:r>
        <w:rPr>
          <w:rFonts w:hint="eastAsia" w:cs="仿宋" w:asciiTheme="minorEastAsia" w:hAnsiTheme="minorEastAsia" w:eastAsiaTheme="minorEastAsia"/>
          <w:sz w:val="24"/>
          <w:u w:val="none"/>
          <w:lang w:val="en-US" w:eastAsia="zh-CN"/>
        </w:rPr>
        <w:t>年</w:t>
      </w:r>
      <w:r>
        <w:rPr>
          <w:rFonts w:hint="eastAsia" w:cs="仿宋" w:asciiTheme="minorEastAsia" w:hAnsiTheme="minorEastAsia" w:eastAsiaTheme="minorEastAsia"/>
          <w:sz w:val="24"/>
          <w:lang w:val="en-US" w:eastAsia="zh-CN"/>
        </w:rPr>
        <w:t>的机场</w:t>
      </w:r>
      <w:r>
        <w:rPr>
          <w:rFonts w:hint="eastAsia" w:cs="仿宋" w:asciiTheme="minorEastAsia" w:hAnsiTheme="minorEastAsia" w:eastAsiaTheme="minorEastAsia"/>
          <w:sz w:val="24"/>
        </w:rPr>
        <w:t>道路监控</w:t>
      </w:r>
      <w:r>
        <w:rPr>
          <w:rFonts w:hint="eastAsia" w:cs="仿宋" w:asciiTheme="minorEastAsia" w:hAnsiTheme="minorEastAsia" w:eastAsiaTheme="minorEastAsia"/>
          <w:sz w:val="24"/>
          <w:lang w:eastAsia="zh-CN"/>
        </w:rPr>
        <w:t>全</w:t>
      </w:r>
      <w:r>
        <w:rPr>
          <w:rFonts w:hint="eastAsia" w:cs="仿宋" w:asciiTheme="minorEastAsia" w:hAnsiTheme="minorEastAsia" w:eastAsiaTheme="minorEastAsia"/>
          <w:sz w:val="24"/>
        </w:rPr>
        <w:t>系统</w:t>
      </w:r>
      <w:r>
        <w:rPr>
          <w:rFonts w:hint="eastAsia" w:cs="仿宋" w:asciiTheme="minorEastAsia" w:hAnsiTheme="minorEastAsia" w:eastAsiaTheme="minorEastAsia"/>
          <w:sz w:val="24"/>
          <w:lang w:eastAsia="zh-CN"/>
        </w:rPr>
        <w:t>（包含但不限于乙方所施工内容）</w:t>
      </w:r>
      <w:r>
        <w:rPr>
          <w:rFonts w:hint="eastAsia" w:cs="仿宋" w:asciiTheme="minorEastAsia" w:hAnsiTheme="minorEastAsia" w:eastAsiaTheme="minorEastAsia"/>
          <w:sz w:val="24"/>
        </w:rPr>
        <w:t>的维护、保养、维修</w:t>
      </w:r>
      <w:r>
        <w:rPr>
          <w:rFonts w:hint="eastAsia" w:cs="仿宋" w:asciiTheme="minorEastAsia" w:hAnsiTheme="minorEastAsia" w:eastAsiaTheme="minorEastAsia"/>
          <w:sz w:val="24"/>
          <w:lang w:eastAsia="zh-CN"/>
        </w:rPr>
        <w:t>、配件的更换</w:t>
      </w:r>
      <w:r>
        <w:rPr>
          <w:rFonts w:hint="eastAsia"/>
          <w:sz w:val="24"/>
          <w:szCs w:val="24"/>
          <w:lang w:eastAsia="zh-CN"/>
        </w:rPr>
        <w:t>（包</w:t>
      </w:r>
      <w:r>
        <w:rPr>
          <w:rFonts w:hint="eastAsia"/>
          <w:sz w:val="24"/>
          <w:szCs w:val="24"/>
        </w:rPr>
        <w:t>含前端箱体内配件</w:t>
      </w:r>
      <w:r>
        <w:rPr>
          <w:rFonts w:hint="eastAsia"/>
          <w:sz w:val="24"/>
          <w:szCs w:val="24"/>
          <w:lang w:eastAsia="zh-CN"/>
        </w:rPr>
        <w:t>更换</w:t>
      </w:r>
      <w:r>
        <w:rPr>
          <w:rFonts w:hint="eastAsia"/>
          <w:sz w:val="24"/>
          <w:szCs w:val="24"/>
        </w:rPr>
        <w:t>如：摄像机电源，箱体内的交换机，各类网络、光纤跳线（长度不超过10米）等</w:t>
      </w:r>
      <w:r>
        <w:rPr>
          <w:rFonts w:hint="eastAsia"/>
          <w:sz w:val="24"/>
          <w:szCs w:val="24"/>
          <w:lang w:eastAsia="zh-CN"/>
        </w:rPr>
        <w:t>，</w:t>
      </w:r>
      <w:r>
        <w:rPr>
          <w:rFonts w:hint="eastAsia"/>
          <w:sz w:val="24"/>
          <w:szCs w:val="24"/>
        </w:rPr>
        <w:t>不包含摄像头及其后端设备</w:t>
      </w:r>
      <w:r>
        <w:rPr>
          <w:rFonts w:hint="eastAsia"/>
          <w:sz w:val="24"/>
          <w:szCs w:val="24"/>
          <w:lang w:eastAsia="zh-CN"/>
        </w:rPr>
        <w:t>的损坏更换）</w:t>
      </w:r>
      <w:r>
        <w:rPr>
          <w:rFonts w:hint="eastAsia" w:cs="仿宋" w:asciiTheme="minorEastAsia" w:hAnsiTheme="minorEastAsia" w:eastAsiaTheme="minorEastAsia"/>
          <w:sz w:val="24"/>
        </w:rPr>
        <w:t>。如乙方维保达不到甲方要求，甲方有权组织代修或更换维保单位，所有损失或费用由乙方承担。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仿宋"/>
          <w:b/>
          <w:bCs/>
          <w:sz w:val="28"/>
          <w:szCs w:val="28"/>
        </w:rPr>
      </w:pPr>
      <w:r>
        <w:rPr>
          <w:rFonts w:hint="eastAsia" w:ascii="宋体" w:hAnsi="宋体" w:cs="仿宋"/>
          <w:b/>
          <w:bCs/>
          <w:sz w:val="28"/>
          <w:szCs w:val="28"/>
        </w:rPr>
        <w:t>十、双方责任</w:t>
      </w:r>
      <w:bookmarkStart w:id="22" w:name="_GoBack"/>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1.甲方为乙方施工提供指定的供水，供电点及必要的施工条件。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2.乙方施工人员的食宿自理。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3.施工期间乙方必须服从甲方职能部门管理、遵守甲方相关规定。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4.接到甲方施工通知后开始计算工期，合同工期每延误一天，按合同价的 1% 在结算中扣除。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5.甲方招标文件和乙方投标文件是本合同组成部分。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cs="仿宋"/>
          <w:b/>
          <w:bCs/>
          <w:sz w:val="28"/>
          <w:szCs w:val="28"/>
        </w:rPr>
      </w:pPr>
      <w:r>
        <w:rPr>
          <w:rFonts w:hint="eastAsia" w:ascii="宋体" w:hAnsi="宋体" w:cs="仿宋"/>
          <w:b/>
          <w:bCs/>
          <w:sz w:val="28"/>
          <w:szCs w:val="28"/>
        </w:rPr>
        <w:t>十一、其它约定事项：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未尽事宜，由双方友好协商解决。协商不成的，双方应向工程所在地人民法院提起诉讼。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本合同经甲，乙双方签字盖章后生效，</w:t>
      </w:r>
      <w:r>
        <w:rPr>
          <w:rFonts w:hint="eastAsia" w:cs="仿宋" w:asciiTheme="minorEastAsia" w:hAnsiTheme="minorEastAsia" w:eastAsiaTheme="minorEastAsia"/>
          <w:color w:val="FF0000"/>
          <w:sz w:val="24"/>
        </w:rPr>
        <w:t>本合同一式</w:t>
      </w:r>
      <w:r>
        <w:rPr>
          <w:rFonts w:hint="eastAsia" w:cs="仿宋" w:asciiTheme="minorEastAsia" w:hAnsiTheme="minorEastAsia" w:eastAsiaTheme="minorEastAsia"/>
          <w:color w:val="FF0000"/>
          <w:sz w:val="24"/>
          <w:lang w:eastAsia="zh-CN"/>
        </w:rPr>
        <w:t>肆</w:t>
      </w:r>
      <w:r>
        <w:rPr>
          <w:rFonts w:hint="eastAsia" w:cs="仿宋" w:asciiTheme="minorEastAsia" w:hAnsiTheme="minorEastAsia" w:eastAsiaTheme="minorEastAsia"/>
          <w:color w:val="FF0000"/>
          <w:sz w:val="24"/>
        </w:rPr>
        <w:t>份，甲、乙双方各执</w:t>
      </w:r>
      <w:r>
        <w:rPr>
          <w:rFonts w:hint="eastAsia" w:cs="仿宋" w:asciiTheme="minorEastAsia" w:hAnsiTheme="minorEastAsia" w:eastAsiaTheme="minorEastAsia"/>
          <w:color w:val="FF0000"/>
          <w:sz w:val="24"/>
          <w:lang w:eastAsia="zh-CN"/>
        </w:rPr>
        <w:t>贰</w:t>
      </w:r>
      <w:r>
        <w:rPr>
          <w:rFonts w:hint="eastAsia" w:cs="仿宋" w:asciiTheme="minorEastAsia" w:hAnsiTheme="minorEastAsia" w:eastAsiaTheme="minorEastAsia"/>
          <w:color w:val="FF0000"/>
          <w:sz w:val="24"/>
        </w:rPr>
        <w:t>份</w:t>
      </w:r>
      <w:r>
        <w:rPr>
          <w:rFonts w:hint="eastAsia" w:cs="仿宋" w:asciiTheme="minorEastAsia" w:hAnsiTheme="minorEastAsia" w:eastAsiaTheme="minorEastAsia"/>
          <w:sz w:val="24"/>
        </w:rPr>
        <w:t>，具有同等法律效力。</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附件一：合同价清单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sz w:val="24"/>
        </w:rPr>
        <w:t>附件二：廉政合同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sz w:val="24"/>
        </w:rPr>
      </w:pPr>
      <w:r>
        <w:rPr>
          <w:rFonts w:hint="eastAsia"/>
          <w:sz w:val="24"/>
        </w:rPr>
        <w:t xml:space="preserve"> </w:t>
      </w:r>
      <w:r>
        <w:rPr>
          <w:sz w:val="24"/>
        </w:rPr>
        <w:t xml:space="preserve">  </w:t>
      </w:r>
      <w:r>
        <w:rPr>
          <w:rFonts w:hint="eastAsia"/>
          <w:sz w:val="24"/>
        </w:rPr>
        <w:t>附件三：安全合同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甲方（盖章）：                  乙方（盖章）：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 xml:space="preserve">法定（或授权）代表：            法定（或授权）代表：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sz w:val="24"/>
        </w:rPr>
        <w:sectPr>
          <w:footerReference r:id="rId3" w:type="default"/>
          <w:pgSz w:w="11906" w:h="16838"/>
          <w:pgMar w:top="1440" w:right="1800" w:bottom="1440" w:left="1800" w:header="851" w:footer="992" w:gutter="0"/>
          <w:cols w:space="720" w:num="1"/>
          <w:docGrid w:type="lines" w:linePitch="312" w:charSpace="0"/>
        </w:sectPr>
      </w:pPr>
      <w:r>
        <w:rPr>
          <w:rFonts w:hint="eastAsia" w:cs="仿宋" w:asciiTheme="minorEastAsia" w:hAnsiTheme="minorEastAsia" w:eastAsiaTheme="minorEastAsia"/>
          <w:sz w:val="24"/>
        </w:rPr>
        <w:t xml:space="preserve"> </w:t>
      </w:r>
      <w:r>
        <w:rPr>
          <w:rFonts w:cs="仿宋" w:asciiTheme="minorEastAsia" w:hAnsiTheme="minorEastAsia" w:eastAsiaTheme="minorEastAsia"/>
          <w:sz w:val="24"/>
        </w:rPr>
        <w:t xml:space="preserve">  </w:t>
      </w:r>
      <w:r>
        <w:rPr>
          <w:rFonts w:hint="eastAsia" w:cs="仿宋" w:asciiTheme="minorEastAsia" w:hAnsiTheme="minorEastAsia" w:eastAsiaTheme="minorEastAsia"/>
          <w:sz w:val="24"/>
        </w:rPr>
        <w:t>日期：                          日期：</w:t>
      </w:r>
    </w:p>
    <w:p>
      <w:pPr>
        <w:pStyle w:val="2"/>
        <w:ind w:left="0" w:leftChars="0"/>
      </w:pPr>
    </w:p>
    <w:p>
      <w:pPr>
        <w:spacing w:line="276" w:lineRule="auto"/>
        <w:ind w:firstLine="120" w:firstLineChars="50"/>
        <w:jc w:val="center"/>
        <w:rPr>
          <w:b/>
          <w:sz w:val="24"/>
        </w:rPr>
      </w:pPr>
      <w:r>
        <w:rPr>
          <w:rFonts w:hint="eastAsia"/>
          <w:b/>
          <w:sz w:val="24"/>
        </w:rPr>
        <w:t>廉政合同</w:t>
      </w:r>
    </w:p>
    <w:p>
      <w:pPr>
        <w:pStyle w:val="2"/>
      </w:pP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cs="仿宋" w:asciiTheme="minorEastAsia" w:hAnsiTheme="minorEastAsia" w:eastAsiaTheme="minorEastAsia"/>
          <w:sz w:val="24"/>
        </w:rPr>
      </w:pPr>
      <w:r>
        <w:rPr>
          <w:rFonts w:hint="eastAsia" w:hAnsi="宋体"/>
          <w:color w:val="000000"/>
          <w:szCs w:val="21"/>
        </w:rPr>
        <w:t>项目名称：</w:t>
      </w:r>
      <w:r>
        <w:rPr>
          <w:rFonts w:hint="eastAsia" w:cs="仿宋" w:asciiTheme="minorEastAsia" w:hAnsiTheme="minorEastAsia" w:eastAsiaTheme="minorEastAsia"/>
          <w:sz w:val="24"/>
        </w:rPr>
        <w:t>扬州泰州国际机场道路监控维修维保</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项目单位：（以下称委托人）</w:t>
      </w:r>
      <w:r>
        <w:rPr>
          <w:rFonts w:hint="eastAsia" w:cs="仿宋" w:asciiTheme="minorEastAsia" w:hAnsiTheme="minorEastAsia" w:eastAsiaTheme="minorEastAsia"/>
          <w:sz w:val="24"/>
        </w:rPr>
        <w:t>扬州泰州国际机场投资建设有限责任公司</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中标单位：（以下称服务人</w:t>
      </w:r>
      <w:r>
        <w:rPr>
          <w:rFonts w:hAnsi="宋体"/>
          <w:color w:val="000000"/>
          <w:szCs w:val="21"/>
        </w:rPr>
        <w:t>)</w:t>
      </w:r>
      <w:r>
        <w:rPr>
          <w:rFonts w:hint="eastAsia" w:cs="仿宋" w:asciiTheme="minorEastAsia" w:hAnsiTheme="minorEastAsia" w:eastAsiaTheme="minorEastAsia"/>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bCs/>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根据国家有关法律法规以及中纪委、江苏省纪委党风廉政建设有关规定，为做好合同项目的廉政建设，预防和制止违纪违法行为，保证资金安全和有效使用，经双方协商一致，订立本合同。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一、委托人工作人员不得参加服务人的宴请、健身、娱乐等高消费活动；不得索取和接受服务人赠送的礼品、礼金、贵重物品和各种有价证券、信用卡及其他支付凭证；不得索取和接受服务人任何好处费及项目回扣；不得向服务人报销应由委托人支付的任何费用；不得借用、租用服务人的交通工具、通讯工具等；不得参加服务人组织的有可能影响公正履行合同的任何祝贺庆典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二、委托人工作人员的配偶、子女及亲属，不得承包或从事与项目有关的材料供应、工程分包、工程监理、工程装璜和装修、组织提供劳务等活动；不得向服务人推荐分包单位；不得要求服务人购买合同规定外的材料和设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三、委托人工作人员如有违反第一、二两条规定，经服务人或其他线索检举，被纪检监察组织核实认定的，按照管理权限，依据有关规定给予（索贿方单位或个人）党纪、政纪或组织处理；涉嫌犯罪的，移交司法机关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四、服务人不得以任何形式邀请委托人人员、中介方人员，吃、玩或赠送礼品、礼金、各种有价证券、信用卡及其他支付凭证或贵重物品；服务人不得以咨询费、劳务费等名义支付委托人人员、中介方人员回扣或变相回扣；不得为委托人、中介方报销应由单位或个人承担的任何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五、服务人如有违反第四条规定的，由有关行政主管部门对服务人给予扣减应付合同金额的</w:t>
      </w:r>
      <w:r>
        <w:rPr>
          <w:rFonts w:hAnsi="宋体"/>
          <w:color w:val="000000"/>
          <w:szCs w:val="21"/>
        </w:rPr>
        <w:t>3%-5%</w:t>
      </w:r>
      <w:r>
        <w:rPr>
          <w:rFonts w:hint="eastAsia" w:hAnsi="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六、服务人在项目实施过程中贿赂委托人人员，被相关纪检监察组织或司法机关立案查处的，委托人有权立即中止项目合同，由此给委托人所造成的损失以及发生的一切费用均由服务人承担。</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七、凡是未按规定签订《廉政合同》，属工程建设项目的不得办理工程建设项目施工许可证等相关手续，不得擅自同意或者进行施工（勘察、设计、监理），属非工程建设项目的一律不得组织实施。违者将由纪检监察组织根据管理权限追究党纪政纪责任，由有关行政主管部门依照有关法律法规进行处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八、委托人和服务人双方单位应严格履行本合同规定内容，发现对方在业务活动中有违反廉政建设规定的行为倾向时，应及时给予提醒和纠正。双方上级主管部门、纪检监察组织有权对本合同签订、执行情况进行定期不定期的检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九、本合同为项目合同的附件，与项目合同具有同等法律效力。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十、本合同自双方签字并经纪检监察组织监证后立即生效。</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十一、本合同一式三份：委托人和服务人双方各一份，有关纪检监察组织一份。</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委托人单位（公章）：                        服务人单位（公章）：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委托人单位法定代表人：                      服务人单位法定代表人：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Ansi="宋体"/>
          <w:color w:val="000000"/>
          <w:szCs w:val="21"/>
        </w:rPr>
      </w:pPr>
      <w:r>
        <w:rPr>
          <w:rFonts w:hint="eastAsia" w:hAnsi="宋体"/>
          <w:color w:val="000000"/>
          <w:szCs w:val="21"/>
        </w:rPr>
        <w:t>（或授权委托人）：                         （或授权委托人）</w:t>
      </w:r>
      <w:r>
        <w:rPr>
          <w:rFonts w:hAnsi="宋体"/>
          <w:color w:val="000000"/>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olor w:val="000000"/>
          <w:szCs w:val="21"/>
        </w:rPr>
      </w:pPr>
      <w:r>
        <w:rPr>
          <w:rFonts w:hint="eastAsia" w:hAnsi="宋体"/>
          <w:color w:val="000000"/>
          <w:szCs w:val="21"/>
        </w:rPr>
        <w:t>地址：                                      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olor w:val="000000"/>
          <w:szCs w:val="21"/>
        </w:rPr>
      </w:pPr>
      <w:r>
        <w:rPr>
          <w:rFonts w:hint="eastAsia" w:hAnsi="宋体"/>
          <w:color w:val="000000"/>
          <w:szCs w:val="21"/>
        </w:rPr>
        <w:t xml:space="preserve"> </w:t>
      </w:r>
      <w:r>
        <w:rPr>
          <w:rFonts w:hAnsi="宋体"/>
          <w:color w:val="000000"/>
          <w:szCs w:val="21"/>
        </w:rPr>
        <w:t xml:space="preserve">   </w:t>
      </w:r>
      <w:r>
        <w:rPr>
          <w:rFonts w:hint="eastAsia" w:hAnsi="宋体"/>
          <w:color w:val="000000"/>
          <w:szCs w:val="21"/>
        </w:rPr>
        <w:t xml:space="preserve">电话：                                     </w:t>
      </w:r>
      <w:r>
        <w:rPr>
          <w:rFonts w:hAnsi="宋体"/>
          <w:color w:val="000000"/>
          <w:szCs w:val="21"/>
        </w:rPr>
        <w:t xml:space="preserve"> </w:t>
      </w:r>
      <w:r>
        <w:rPr>
          <w:rFonts w:hint="eastAsia" w:hAnsi="宋体"/>
          <w:color w:val="000000"/>
          <w:szCs w:val="21"/>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olor w:val="000000"/>
          <w:szCs w:val="21"/>
        </w:rPr>
      </w:pPr>
      <w:r>
        <w:rPr>
          <w:rFonts w:hint="eastAsia" w:hAnsi="宋体"/>
          <w:color w:val="000000"/>
          <w:szCs w:val="21"/>
        </w:rPr>
        <w:t xml:space="preserve"> </w:t>
      </w:r>
      <w:r>
        <w:rPr>
          <w:rFonts w:hAnsi="宋体"/>
          <w:color w:val="000000"/>
          <w:szCs w:val="21"/>
        </w:rPr>
        <w:t xml:space="preserve">   </w:t>
      </w:r>
      <w:r>
        <w:rPr>
          <w:rFonts w:hint="eastAsia" w:hAnsi="宋体"/>
          <w:color w:val="000000"/>
          <w:szCs w:val="21"/>
        </w:rPr>
        <w:t xml:space="preserve">年   月   日                               </w:t>
      </w:r>
      <w:r>
        <w:rPr>
          <w:rFonts w:hAnsi="宋体"/>
          <w:color w:val="000000"/>
          <w:szCs w:val="21"/>
        </w:rPr>
        <w:t xml:space="preserve"> </w:t>
      </w:r>
      <w:r>
        <w:rPr>
          <w:rFonts w:hint="eastAsia" w:hAnsi="宋体"/>
          <w:color w:val="000000"/>
          <w:szCs w:val="21"/>
        </w:rPr>
        <w:t>年   月   日</w:t>
      </w: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widowControl/>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br w:type="page"/>
      </w:r>
    </w:p>
    <w:p>
      <w:pPr>
        <w:jc w:val="center"/>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施工安全协议</w:t>
      </w:r>
    </w:p>
    <w:p>
      <w:pPr>
        <w:pStyle w:val="2"/>
        <w:keepNext w:val="0"/>
        <w:keepLines w:val="0"/>
        <w:pageBreakBefore w:val="0"/>
        <w:kinsoku/>
        <w:wordWrap/>
        <w:overflowPunct/>
        <w:topLinePunct w:val="0"/>
        <w:autoSpaceDE/>
        <w:autoSpaceDN/>
        <w:bidi w:val="0"/>
        <w:adjustRightInd/>
        <w:snapToGrid/>
        <w:spacing w:line="360" w:lineRule="auto"/>
        <w:textAlignment w:val="auto"/>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委托方（甲方）：扬州泰州国际机场投资建设有限责任公司</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服务方（乙方）：</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为了贯彻落实“安全第一、预防为主”的安全工作方针，创造安全、高效的施工环境,严格执行国家和地方有关安全生产、劳动保护的法律法规和扬州泰州国际机场各项安全生产管理制度，强化安全生产管理，落实安全生产责任制，规范作业安全管理，保障安全生产和作业单位切身利益，经双方协商一致，特签订本协议。</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cs="仿宋" w:asciiTheme="minorEastAsia" w:hAnsiTheme="minorEastAsia" w:eastAsiaTheme="minorEastAsia"/>
          <w:b/>
          <w:sz w:val="24"/>
        </w:rPr>
      </w:pPr>
      <w:r>
        <w:rPr>
          <w:rFonts w:hint="eastAsia" w:cs="仿宋" w:asciiTheme="minorEastAsia" w:hAnsiTheme="minorEastAsia" w:eastAsiaTheme="minorEastAsia"/>
          <w:b/>
          <w:sz w:val="24"/>
        </w:rPr>
        <w:t>一、作业（施工、经营）项目</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项目名称：扬州泰州国际机场道路监控维修维保</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项目负责人：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项目部地点：扬州泰州国际机场</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作业内容：道路监控维修维保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作业范围：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作业期限：                                </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cs="仿宋" w:asciiTheme="minorEastAsia" w:hAnsiTheme="minorEastAsia" w:eastAsiaTheme="minorEastAsia"/>
          <w:b/>
          <w:sz w:val="24"/>
        </w:rPr>
      </w:pPr>
      <w:r>
        <w:rPr>
          <w:rFonts w:hint="eastAsia" w:cs="仿宋" w:asciiTheme="minorEastAsia" w:hAnsiTheme="minorEastAsia" w:eastAsiaTheme="minorEastAsia"/>
          <w:b/>
          <w:sz w:val="24"/>
        </w:rPr>
        <w:t>二、安全目标</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1．杜绝发生各类安全事故；</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2．杜绝发生火灾事故；</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3．杜绝发生治安事件；</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4．杜绝严重违章违纪行为。</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cs="仿宋" w:asciiTheme="minorEastAsia" w:hAnsiTheme="minorEastAsia" w:eastAsiaTheme="minorEastAsia"/>
          <w:b/>
          <w:sz w:val="24"/>
        </w:rPr>
      </w:pPr>
      <w:r>
        <w:rPr>
          <w:rFonts w:hint="eastAsia" w:cs="仿宋" w:asciiTheme="minorEastAsia" w:hAnsiTheme="minorEastAsia" w:eastAsiaTheme="minorEastAsia"/>
          <w:b/>
          <w:sz w:val="24"/>
        </w:rPr>
        <w:t>三、甲方职责</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1．严格遵守国家有关安全生产的法律法规，认真执行工程承包合同中的有关安全要求。</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2．按照“安全第一、预防为主”和坚持“管生产必须管安全”的原则进行安全生产管理。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3．定期召开安全生产会，及时传达政府、行业主管部门及机场有关安全生产的精神。</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4．组织对乙方施工现场安全生产检查，监督乙方，及时处理发现的各种安全隐患。</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cs="仿宋" w:asciiTheme="minorEastAsia" w:hAnsiTheme="minorEastAsia" w:eastAsiaTheme="minorEastAsia"/>
          <w:b/>
          <w:sz w:val="24"/>
        </w:rPr>
      </w:pPr>
      <w:r>
        <w:rPr>
          <w:rFonts w:hint="eastAsia" w:cs="仿宋" w:asciiTheme="minorEastAsia" w:hAnsiTheme="minorEastAsia" w:eastAsiaTheme="minorEastAsia"/>
          <w:b/>
          <w:sz w:val="24"/>
        </w:rPr>
        <w:t>四、乙方职责</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1．严格遵守国务院第393号令《建设工程安全生产管理条例》中有关安全生产的规定，认真执行工程承包合同中的有关安全要求。施工期间，严格按甲方的要求，依照《建筑施工安全检查标准》（JGJ 59-2011），明确安全责任，做好施工组织设计和施工安全技术交底，服从甲方相关部门的日常管理和检查。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和总结。</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 1％～3％配备安全员，专职负责所有员工的安全和治安保卫工作及预防事故的发生。安全机构人员有权按有关规定发布指令，并采取保护性措施防止事故发生。</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4．乙方在任何时候都应采取各种合理的预防措施，防止其员工发生任何违法、违禁、暴力或妨碍治安的行为。</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7．操作人员上岗必须按规定穿戴防护用品。施工负责人和安全检查员应随时检查劳动防护用品的穿戴情况，不按规定穿戴防护用品的人员不得上岗。</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8．所有施工机具设备和高空作业的设备均应定期检查，并有安全员的签字记录，保证其经常处于完好状态；不合格的机具、设备和劳动保护用品严禁使用。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9．施工中采用新技术、新工艺、新设备、新材料时，必须制定相应的安全技术措施，施工现场必须具有相关的安全标志牌。</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10．施工作业地点位于控制区内的，操作人员须提前办理相应控制区通行证，进入控制区应主动佩戴，并接受安检人员的检查。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11．乙方必须按照本工程项目特点，组织制定本工程实施中的生产安全事故应急救援预案；如果发生安全事故，应及时上报甲方及政府有关部门并严肃处理相关责任人。</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12．因乙方责任造成的甲方一切损失和负面影响，由乙方全部承担。</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13．发生对甲方造成影响的事故，乙方必须立即向甲方报告。报告的内容主要有：时间、地点、事故性质、人员伤亡、初步处理情况及报告人的单位、姓名、电话号码等，事故的损失按责论处。</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14．乙方在进场施工前，应给现场施工作业的每个员工购买意外伤害保险。</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cs="仿宋" w:asciiTheme="minorEastAsia" w:hAnsiTheme="minorEastAsia" w:eastAsiaTheme="minorEastAsia"/>
          <w:b/>
          <w:sz w:val="24"/>
        </w:rPr>
      </w:pPr>
      <w:r>
        <w:rPr>
          <w:rFonts w:hint="eastAsia" w:cs="仿宋" w:asciiTheme="minorEastAsia" w:hAnsiTheme="minorEastAsia" w:eastAsiaTheme="minorEastAsia"/>
          <w:b/>
          <w:sz w:val="24"/>
        </w:rPr>
        <w:t>五、治安消防工作要求</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1．乙方必须认真遵守国家和地方的有关法律、法规。</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2．乙方须配备至少一名专（兼）职治安消防管理人员，负责本作业区域的治安消防工作；</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3．因乙方责任造成影响的案件如：火灾、治安事件等，事故经济责任、事故法律责任以及事故的善后处理均由乙方独自承担，因此给甲方造成的经济损失由乙方全部承担。</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cs="仿宋" w:asciiTheme="minorEastAsia" w:hAnsiTheme="minorEastAsia" w:eastAsiaTheme="minorEastAsia"/>
          <w:b/>
          <w:sz w:val="24"/>
        </w:rPr>
      </w:pPr>
      <w:r>
        <w:rPr>
          <w:rFonts w:hint="eastAsia" w:cs="仿宋" w:asciiTheme="minorEastAsia" w:hAnsiTheme="minorEastAsia" w:eastAsiaTheme="minorEastAsia"/>
          <w:b/>
          <w:sz w:val="24"/>
        </w:rPr>
        <w:t>六、争议的处理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协议双方发生争议时，可以通过协商解决，协商不成的可以按司法程序向甲方所在地人民法院起诉。</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cs="仿宋" w:asciiTheme="minorEastAsia" w:hAnsiTheme="minorEastAsia" w:eastAsiaTheme="minorEastAsia"/>
          <w:b/>
          <w:sz w:val="24"/>
        </w:rPr>
      </w:pPr>
      <w:r>
        <w:rPr>
          <w:rFonts w:hint="eastAsia" w:cs="仿宋" w:asciiTheme="minorEastAsia" w:hAnsiTheme="minorEastAsia" w:eastAsiaTheme="minorEastAsia"/>
          <w:b/>
          <w:sz w:val="24"/>
        </w:rPr>
        <w:t>七、其他补充条款</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color w:val="FF0000"/>
          <w:sz w:val="24"/>
        </w:rPr>
        <w:t>本合同正本一式二份，副本两份，合同双方各执正本一份，副本一份。</w:t>
      </w:r>
      <w:r>
        <w:rPr>
          <w:rFonts w:hint="eastAsia" w:cs="仿宋" w:asciiTheme="minorEastAsia" w:hAnsiTheme="minorEastAsia" w:eastAsiaTheme="minorEastAsia"/>
          <w:sz w:val="24"/>
        </w:rPr>
        <w:t>由双方法定或授权代表签署与加盖公章后生效，全部工程竣工验收后失效。</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（以下无正文）</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甲方（盖章）：                   乙方（盖章）：</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法定（或授权）代表：            法定（或授权）代表：</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cs="仿宋" w:asciiTheme="minorEastAsia" w:hAnsiTheme="minorEastAsia" w:eastAsiaTheme="minorEastAsia"/>
          <w:sz w:val="24"/>
        </w:rPr>
      </w:pPr>
      <w:r>
        <w:rPr>
          <w:rFonts w:hint="eastAsia" w:cs="仿宋" w:asciiTheme="minorEastAsia" w:hAnsiTheme="minorEastAsia" w:eastAsiaTheme="minorEastAsia"/>
          <w:sz w:val="24"/>
        </w:rPr>
        <w:t>日期：                          日期：</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Helvetica"/>
          <w:color w:val="000000"/>
          <w:kern w:val="0"/>
          <w:sz w:val="24"/>
          <w:lang w:val="en-US" w:eastAsia="zh-CN"/>
        </w:rPr>
      </w:pPr>
    </w:p>
    <w:sectPr>
      <w:footerReference r:id="rId4" w:type="default"/>
      <w:foot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5"/>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1u5d9AA&#10;AAACAQAADwAAAAAAAAABACAAAAAiAAAAZHJzL2Rvd25yZXYueG1sUEsBAhQAFAAAAAgAh07iQN8+&#10;5Z7uAQAAswMAAA4AAAAAAAAAAQAgAAAAHwEAAGRycy9lMm9Eb2MueG1sUEsFBgAAAAAGAAYAWQEA&#10;AH8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1FB8D325"/>
    <w:multiLevelType w:val="singleLevel"/>
    <w:tmpl w:val="1FB8D325"/>
    <w:lvl w:ilvl="0" w:tentative="0">
      <w:start w:val="1"/>
      <w:numFmt w:val="chineseCounting"/>
      <w:suff w:val="nothing"/>
      <w:lvlText w:val="%1、"/>
      <w:lvlJc w:val="left"/>
      <w:pPr>
        <w:ind w:left="210"/>
      </w:pPr>
      <w:rPr>
        <w:rFonts w:hint="eastAsia"/>
      </w:rPr>
    </w:lvl>
  </w:abstractNum>
  <w:abstractNum w:abstractNumId="2">
    <w:nsid w:val="57AF1549"/>
    <w:multiLevelType w:val="multilevel"/>
    <w:tmpl w:val="57AF1549"/>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ODE1ZjcwMDhlYjJhNGQ5MGJmOTM2ZjFhY2M2ZTEifQ=="/>
  </w:docVars>
  <w:rsids>
    <w:rsidRoot w:val="00CA0FB1"/>
    <w:rsid w:val="000013FB"/>
    <w:rsid w:val="0000367F"/>
    <w:rsid w:val="000059ED"/>
    <w:rsid w:val="0000778D"/>
    <w:rsid w:val="00011CE9"/>
    <w:rsid w:val="00014DE8"/>
    <w:rsid w:val="00015932"/>
    <w:rsid w:val="00017798"/>
    <w:rsid w:val="00020F90"/>
    <w:rsid w:val="00021BD1"/>
    <w:rsid w:val="000220B3"/>
    <w:rsid w:val="00024C38"/>
    <w:rsid w:val="00026554"/>
    <w:rsid w:val="00034DBB"/>
    <w:rsid w:val="00040A11"/>
    <w:rsid w:val="0004297B"/>
    <w:rsid w:val="00045E55"/>
    <w:rsid w:val="00051F2F"/>
    <w:rsid w:val="000540AC"/>
    <w:rsid w:val="000574C7"/>
    <w:rsid w:val="000608C7"/>
    <w:rsid w:val="000610E7"/>
    <w:rsid w:val="000617B8"/>
    <w:rsid w:val="00066C1E"/>
    <w:rsid w:val="00067BD0"/>
    <w:rsid w:val="000711A0"/>
    <w:rsid w:val="00073851"/>
    <w:rsid w:val="00073B33"/>
    <w:rsid w:val="000740D4"/>
    <w:rsid w:val="00074720"/>
    <w:rsid w:val="00077E54"/>
    <w:rsid w:val="00081B32"/>
    <w:rsid w:val="000830A7"/>
    <w:rsid w:val="000845E1"/>
    <w:rsid w:val="000933AF"/>
    <w:rsid w:val="00093C14"/>
    <w:rsid w:val="00095229"/>
    <w:rsid w:val="0009647B"/>
    <w:rsid w:val="00096BF9"/>
    <w:rsid w:val="000A05DB"/>
    <w:rsid w:val="000A15CC"/>
    <w:rsid w:val="000A4D71"/>
    <w:rsid w:val="000A5B21"/>
    <w:rsid w:val="000A641C"/>
    <w:rsid w:val="000A6F30"/>
    <w:rsid w:val="000B2896"/>
    <w:rsid w:val="000B488B"/>
    <w:rsid w:val="000B6AD5"/>
    <w:rsid w:val="000C10BE"/>
    <w:rsid w:val="000C662F"/>
    <w:rsid w:val="000D0A55"/>
    <w:rsid w:val="000D1603"/>
    <w:rsid w:val="000D38C8"/>
    <w:rsid w:val="000D614A"/>
    <w:rsid w:val="000D74BF"/>
    <w:rsid w:val="000E23ED"/>
    <w:rsid w:val="000E5EF7"/>
    <w:rsid w:val="000E7F47"/>
    <w:rsid w:val="000F23F9"/>
    <w:rsid w:val="000F3033"/>
    <w:rsid w:val="000F55FD"/>
    <w:rsid w:val="000F5A15"/>
    <w:rsid w:val="000F6809"/>
    <w:rsid w:val="00104FF6"/>
    <w:rsid w:val="00105304"/>
    <w:rsid w:val="00107AF4"/>
    <w:rsid w:val="00112376"/>
    <w:rsid w:val="00115FA2"/>
    <w:rsid w:val="001163B8"/>
    <w:rsid w:val="00120810"/>
    <w:rsid w:val="00120CA6"/>
    <w:rsid w:val="001265ED"/>
    <w:rsid w:val="0013145F"/>
    <w:rsid w:val="001316F2"/>
    <w:rsid w:val="00132BF7"/>
    <w:rsid w:val="00133FE5"/>
    <w:rsid w:val="00136333"/>
    <w:rsid w:val="00140148"/>
    <w:rsid w:val="00142771"/>
    <w:rsid w:val="001454E4"/>
    <w:rsid w:val="00147B99"/>
    <w:rsid w:val="001529DF"/>
    <w:rsid w:val="00152D1D"/>
    <w:rsid w:val="00153FA1"/>
    <w:rsid w:val="00157329"/>
    <w:rsid w:val="00161704"/>
    <w:rsid w:val="001649A0"/>
    <w:rsid w:val="00164F48"/>
    <w:rsid w:val="00167A21"/>
    <w:rsid w:val="00170596"/>
    <w:rsid w:val="00171B85"/>
    <w:rsid w:val="0017564F"/>
    <w:rsid w:val="00176DF6"/>
    <w:rsid w:val="0017729A"/>
    <w:rsid w:val="00181CEB"/>
    <w:rsid w:val="00183F41"/>
    <w:rsid w:val="00184368"/>
    <w:rsid w:val="001845F7"/>
    <w:rsid w:val="0018641F"/>
    <w:rsid w:val="00190ADF"/>
    <w:rsid w:val="00190E1A"/>
    <w:rsid w:val="00195C98"/>
    <w:rsid w:val="0019775A"/>
    <w:rsid w:val="001B0C87"/>
    <w:rsid w:val="001B3034"/>
    <w:rsid w:val="001B5AB7"/>
    <w:rsid w:val="001C2DCC"/>
    <w:rsid w:val="001C66A6"/>
    <w:rsid w:val="001D0C50"/>
    <w:rsid w:val="001D21E3"/>
    <w:rsid w:val="001D2EBA"/>
    <w:rsid w:val="001D47D7"/>
    <w:rsid w:val="001D5C7F"/>
    <w:rsid w:val="001D6F05"/>
    <w:rsid w:val="001E1863"/>
    <w:rsid w:val="001E379E"/>
    <w:rsid w:val="001E4601"/>
    <w:rsid w:val="001E5D25"/>
    <w:rsid w:val="001F28AB"/>
    <w:rsid w:val="001F29A8"/>
    <w:rsid w:val="001F36A6"/>
    <w:rsid w:val="001F48B9"/>
    <w:rsid w:val="001F7DF9"/>
    <w:rsid w:val="0020239E"/>
    <w:rsid w:val="00206068"/>
    <w:rsid w:val="002163E0"/>
    <w:rsid w:val="00217403"/>
    <w:rsid w:val="00217F16"/>
    <w:rsid w:val="00220B76"/>
    <w:rsid w:val="002233B3"/>
    <w:rsid w:val="00230611"/>
    <w:rsid w:val="0023095A"/>
    <w:rsid w:val="00232B87"/>
    <w:rsid w:val="002338DB"/>
    <w:rsid w:val="00234859"/>
    <w:rsid w:val="00235052"/>
    <w:rsid w:val="002366F8"/>
    <w:rsid w:val="00240131"/>
    <w:rsid w:val="00240A3F"/>
    <w:rsid w:val="0024217A"/>
    <w:rsid w:val="002450F1"/>
    <w:rsid w:val="00245B6A"/>
    <w:rsid w:val="00251DDE"/>
    <w:rsid w:val="00253F3D"/>
    <w:rsid w:val="00254E52"/>
    <w:rsid w:val="00255087"/>
    <w:rsid w:val="0026027B"/>
    <w:rsid w:val="00263E24"/>
    <w:rsid w:val="002646F7"/>
    <w:rsid w:val="00264A7F"/>
    <w:rsid w:val="0026554B"/>
    <w:rsid w:val="00266FA0"/>
    <w:rsid w:val="002708EF"/>
    <w:rsid w:val="002736FD"/>
    <w:rsid w:val="00273F68"/>
    <w:rsid w:val="00273FFF"/>
    <w:rsid w:val="00274C25"/>
    <w:rsid w:val="002759EC"/>
    <w:rsid w:val="002778A9"/>
    <w:rsid w:val="002825A9"/>
    <w:rsid w:val="002828A9"/>
    <w:rsid w:val="00282DD7"/>
    <w:rsid w:val="002919C7"/>
    <w:rsid w:val="0029484A"/>
    <w:rsid w:val="00295283"/>
    <w:rsid w:val="00297529"/>
    <w:rsid w:val="002A1135"/>
    <w:rsid w:val="002A2A9A"/>
    <w:rsid w:val="002A2F64"/>
    <w:rsid w:val="002A3177"/>
    <w:rsid w:val="002A3E12"/>
    <w:rsid w:val="002A3E2E"/>
    <w:rsid w:val="002A46F4"/>
    <w:rsid w:val="002A5310"/>
    <w:rsid w:val="002A593A"/>
    <w:rsid w:val="002A5B72"/>
    <w:rsid w:val="002A6785"/>
    <w:rsid w:val="002A77E5"/>
    <w:rsid w:val="002B0E88"/>
    <w:rsid w:val="002B1697"/>
    <w:rsid w:val="002B2833"/>
    <w:rsid w:val="002B334B"/>
    <w:rsid w:val="002B549C"/>
    <w:rsid w:val="002B6D0B"/>
    <w:rsid w:val="002B79C7"/>
    <w:rsid w:val="002C02A2"/>
    <w:rsid w:val="002C2BA7"/>
    <w:rsid w:val="002C2BD7"/>
    <w:rsid w:val="002C53DF"/>
    <w:rsid w:val="002C5790"/>
    <w:rsid w:val="002C682D"/>
    <w:rsid w:val="002C7C3F"/>
    <w:rsid w:val="002D3BCC"/>
    <w:rsid w:val="002D4ADB"/>
    <w:rsid w:val="002D590D"/>
    <w:rsid w:val="002E732B"/>
    <w:rsid w:val="002E7486"/>
    <w:rsid w:val="002E7A82"/>
    <w:rsid w:val="002F2F4D"/>
    <w:rsid w:val="002F40E1"/>
    <w:rsid w:val="002F68EC"/>
    <w:rsid w:val="002F7961"/>
    <w:rsid w:val="002F7FBC"/>
    <w:rsid w:val="003021DF"/>
    <w:rsid w:val="00302397"/>
    <w:rsid w:val="00302985"/>
    <w:rsid w:val="003031EF"/>
    <w:rsid w:val="00304482"/>
    <w:rsid w:val="003117C5"/>
    <w:rsid w:val="00311BCD"/>
    <w:rsid w:val="0031352F"/>
    <w:rsid w:val="00314A4A"/>
    <w:rsid w:val="00316A28"/>
    <w:rsid w:val="00317A57"/>
    <w:rsid w:val="00322166"/>
    <w:rsid w:val="0032536A"/>
    <w:rsid w:val="00330A91"/>
    <w:rsid w:val="003327C5"/>
    <w:rsid w:val="003338C9"/>
    <w:rsid w:val="003348E7"/>
    <w:rsid w:val="00337123"/>
    <w:rsid w:val="00340950"/>
    <w:rsid w:val="0034419B"/>
    <w:rsid w:val="00345DAE"/>
    <w:rsid w:val="00350DFB"/>
    <w:rsid w:val="00351847"/>
    <w:rsid w:val="0036010E"/>
    <w:rsid w:val="0036057E"/>
    <w:rsid w:val="00362A3E"/>
    <w:rsid w:val="00363FF4"/>
    <w:rsid w:val="00366551"/>
    <w:rsid w:val="00367FDB"/>
    <w:rsid w:val="00372133"/>
    <w:rsid w:val="00374495"/>
    <w:rsid w:val="00374CAB"/>
    <w:rsid w:val="003750DA"/>
    <w:rsid w:val="003801B2"/>
    <w:rsid w:val="00384BBE"/>
    <w:rsid w:val="003906A8"/>
    <w:rsid w:val="003B097C"/>
    <w:rsid w:val="003B0FA1"/>
    <w:rsid w:val="003B2363"/>
    <w:rsid w:val="003B7A1B"/>
    <w:rsid w:val="003C1700"/>
    <w:rsid w:val="003C400E"/>
    <w:rsid w:val="003C4DB1"/>
    <w:rsid w:val="003C54F9"/>
    <w:rsid w:val="003D06EC"/>
    <w:rsid w:val="003D0F84"/>
    <w:rsid w:val="003D1783"/>
    <w:rsid w:val="003D3345"/>
    <w:rsid w:val="003D7ADC"/>
    <w:rsid w:val="003E03B3"/>
    <w:rsid w:val="003E0E3D"/>
    <w:rsid w:val="003E1C97"/>
    <w:rsid w:val="003E2355"/>
    <w:rsid w:val="003E2470"/>
    <w:rsid w:val="003E3D33"/>
    <w:rsid w:val="003E5604"/>
    <w:rsid w:val="003E59FB"/>
    <w:rsid w:val="003E6F98"/>
    <w:rsid w:val="003E701E"/>
    <w:rsid w:val="003E7503"/>
    <w:rsid w:val="003F165F"/>
    <w:rsid w:val="003F24AC"/>
    <w:rsid w:val="003F2DF3"/>
    <w:rsid w:val="00403B0C"/>
    <w:rsid w:val="004062F1"/>
    <w:rsid w:val="00406FA3"/>
    <w:rsid w:val="00407789"/>
    <w:rsid w:val="0041088E"/>
    <w:rsid w:val="00414101"/>
    <w:rsid w:val="004141AA"/>
    <w:rsid w:val="00417DF1"/>
    <w:rsid w:val="004204CD"/>
    <w:rsid w:val="00421B82"/>
    <w:rsid w:val="00422884"/>
    <w:rsid w:val="004236F8"/>
    <w:rsid w:val="00425C3C"/>
    <w:rsid w:val="00432971"/>
    <w:rsid w:val="00434C15"/>
    <w:rsid w:val="00434DA1"/>
    <w:rsid w:val="0043596C"/>
    <w:rsid w:val="0043650A"/>
    <w:rsid w:val="00436BD2"/>
    <w:rsid w:val="00437A72"/>
    <w:rsid w:val="004432FA"/>
    <w:rsid w:val="00443565"/>
    <w:rsid w:val="00445970"/>
    <w:rsid w:val="004464BB"/>
    <w:rsid w:val="004478B4"/>
    <w:rsid w:val="00451CB8"/>
    <w:rsid w:val="00462A96"/>
    <w:rsid w:val="00464BA2"/>
    <w:rsid w:val="00474893"/>
    <w:rsid w:val="00481246"/>
    <w:rsid w:val="004818F6"/>
    <w:rsid w:val="0048520D"/>
    <w:rsid w:val="00485ABB"/>
    <w:rsid w:val="0049797E"/>
    <w:rsid w:val="004A2CDC"/>
    <w:rsid w:val="004A6AB7"/>
    <w:rsid w:val="004B02F7"/>
    <w:rsid w:val="004B0497"/>
    <w:rsid w:val="004B433E"/>
    <w:rsid w:val="004B5489"/>
    <w:rsid w:val="004B6209"/>
    <w:rsid w:val="004B66D2"/>
    <w:rsid w:val="004B6D2D"/>
    <w:rsid w:val="004C4EA1"/>
    <w:rsid w:val="004C6D3B"/>
    <w:rsid w:val="004E2724"/>
    <w:rsid w:val="004E3EC8"/>
    <w:rsid w:val="004E618D"/>
    <w:rsid w:val="004E6894"/>
    <w:rsid w:val="004E769A"/>
    <w:rsid w:val="004F07AF"/>
    <w:rsid w:val="004F19F5"/>
    <w:rsid w:val="004F3ECA"/>
    <w:rsid w:val="004F42FA"/>
    <w:rsid w:val="004F5056"/>
    <w:rsid w:val="004F54F7"/>
    <w:rsid w:val="004F6FBE"/>
    <w:rsid w:val="00502042"/>
    <w:rsid w:val="0050214D"/>
    <w:rsid w:val="005038D0"/>
    <w:rsid w:val="005058C7"/>
    <w:rsid w:val="005105A2"/>
    <w:rsid w:val="00511A35"/>
    <w:rsid w:val="00513F3B"/>
    <w:rsid w:val="0051422B"/>
    <w:rsid w:val="00521DCB"/>
    <w:rsid w:val="00522B18"/>
    <w:rsid w:val="00523916"/>
    <w:rsid w:val="005316EA"/>
    <w:rsid w:val="00531A12"/>
    <w:rsid w:val="00534D4C"/>
    <w:rsid w:val="00536F87"/>
    <w:rsid w:val="0053791F"/>
    <w:rsid w:val="0054062C"/>
    <w:rsid w:val="0054294C"/>
    <w:rsid w:val="00544099"/>
    <w:rsid w:val="005531CE"/>
    <w:rsid w:val="00553C8E"/>
    <w:rsid w:val="00557F61"/>
    <w:rsid w:val="005604E2"/>
    <w:rsid w:val="00564C91"/>
    <w:rsid w:val="005710DE"/>
    <w:rsid w:val="00572E07"/>
    <w:rsid w:val="00575D79"/>
    <w:rsid w:val="00581887"/>
    <w:rsid w:val="00582B9B"/>
    <w:rsid w:val="0059004E"/>
    <w:rsid w:val="00592375"/>
    <w:rsid w:val="00593309"/>
    <w:rsid w:val="00594C37"/>
    <w:rsid w:val="005964D3"/>
    <w:rsid w:val="005A1E93"/>
    <w:rsid w:val="005A3994"/>
    <w:rsid w:val="005A4FCE"/>
    <w:rsid w:val="005A796A"/>
    <w:rsid w:val="005B1075"/>
    <w:rsid w:val="005B5D50"/>
    <w:rsid w:val="005B7A9C"/>
    <w:rsid w:val="005C61BE"/>
    <w:rsid w:val="005C75CB"/>
    <w:rsid w:val="005D070F"/>
    <w:rsid w:val="005D19F3"/>
    <w:rsid w:val="005D5FAC"/>
    <w:rsid w:val="005D6936"/>
    <w:rsid w:val="005D6F1E"/>
    <w:rsid w:val="005D7089"/>
    <w:rsid w:val="005E13F1"/>
    <w:rsid w:val="005E1421"/>
    <w:rsid w:val="005E15BF"/>
    <w:rsid w:val="005E1D67"/>
    <w:rsid w:val="005E5379"/>
    <w:rsid w:val="005E7293"/>
    <w:rsid w:val="005F44ED"/>
    <w:rsid w:val="00603288"/>
    <w:rsid w:val="00603B31"/>
    <w:rsid w:val="0060594F"/>
    <w:rsid w:val="00607B37"/>
    <w:rsid w:val="00612034"/>
    <w:rsid w:val="00613C49"/>
    <w:rsid w:val="00613D9D"/>
    <w:rsid w:val="00614307"/>
    <w:rsid w:val="00614714"/>
    <w:rsid w:val="00624C6C"/>
    <w:rsid w:val="00626AB4"/>
    <w:rsid w:val="00630231"/>
    <w:rsid w:val="0063030E"/>
    <w:rsid w:val="00631F03"/>
    <w:rsid w:val="006325FA"/>
    <w:rsid w:val="00633EF0"/>
    <w:rsid w:val="00635C98"/>
    <w:rsid w:val="0063615F"/>
    <w:rsid w:val="00637990"/>
    <w:rsid w:val="00640C12"/>
    <w:rsid w:val="00644F7B"/>
    <w:rsid w:val="006535F6"/>
    <w:rsid w:val="00654EFE"/>
    <w:rsid w:val="006621BD"/>
    <w:rsid w:val="00662248"/>
    <w:rsid w:val="00665BA3"/>
    <w:rsid w:val="00673916"/>
    <w:rsid w:val="00680C87"/>
    <w:rsid w:val="00684876"/>
    <w:rsid w:val="00686FB7"/>
    <w:rsid w:val="00687203"/>
    <w:rsid w:val="00694158"/>
    <w:rsid w:val="00694580"/>
    <w:rsid w:val="00694BAC"/>
    <w:rsid w:val="00697FB4"/>
    <w:rsid w:val="006A3292"/>
    <w:rsid w:val="006A7C24"/>
    <w:rsid w:val="006B5B20"/>
    <w:rsid w:val="006B6D90"/>
    <w:rsid w:val="006B7A49"/>
    <w:rsid w:val="006B7CAE"/>
    <w:rsid w:val="006C1ABE"/>
    <w:rsid w:val="006C32CA"/>
    <w:rsid w:val="006C79E9"/>
    <w:rsid w:val="006D350F"/>
    <w:rsid w:val="006D4DFE"/>
    <w:rsid w:val="006D722F"/>
    <w:rsid w:val="006E1893"/>
    <w:rsid w:val="006E3D6D"/>
    <w:rsid w:val="006E642C"/>
    <w:rsid w:val="006E6565"/>
    <w:rsid w:val="006F0BAD"/>
    <w:rsid w:val="006F5D99"/>
    <w:rsid w:val="00700B33"/>
    <w:rsid w:val="00701601"/>
    <w:rsid w:val="007020B3"/>
    <w:rsid w:val="007044C3"/>
    <w:rsid w:val="00704699"/>
    <w:rsid w:val="00711B2F"/>
    <w:rsid w:val="007144ED"/>
    <w:rsid w:val="00714B6B"/>
    <w:rsid w:val="0071679D"/>
    <w:rsid w:val="00721514"/>
    <w:rsid w:val="00727B3B"/>
    <w:rsid w:val="007317CE"/>
    <w:rsid w:val="00733EC4"/>
    <w:rsid w:val="007340CF"/>
    <w:rsid w:val="00736070"/>
    <w:rsid w:val="007453AE"/>
    <w:rsid w:val="00745F12"/>
    <w:rsid w:val="00747076"/>
    <w:rsid w:val="00751386"/>
    <w:rsid w:val="007530BE"/>
    <w:rsid w:val="007550C9"/>
    <w:rsid w:val="0075670F"/>
    <w:rsid w:val="0075730C"/>
    <w:rsid w:val="00760196"/>
    <w:rsid w:val="00762C39"/>
    <w:rsid w:val="00765E65"/>
    <w:rsid w:val="00766344"/>
    <w:rsid w:val="00767189"/>
    <w:rsid w:val="0077029D"/>
    <w:rsid w:val="00774162"/>
    <w:rsid w:val="0077473E"/>
    <w:rsid w:val="00774841"/>
    <w:rsid w:val="007766BC"/>
    <w:rsid w:val="00776B60"/>
    <w:rsid w:val="0077754E"/>
    <w:rsid w:val="007814B6"/>
    <w:rsid w:val="007818B0"/>
    <w:rsid w:val="00782634"/>
    <w:rsid w:val="00783433"/>
    <w:rsid w:val="0078366B"/>
    <w:rsid w:val="00784256"/>
    <w:rsid w:val="00785578"/>
    <w:rsid w:val="007867E9"/>
    <w:rsid w:val="00787A20"/>
    <w:rsid w:val="00791CF0"/>
    <w:rsid w:val="007959CC"/>
    <w:rsid w:val="007A068E"/>
    <w:rsid w:val="007A4C9D"/>
    <w:rsid w:val="007A53D3"/>
    <w:rsid w:val="007A58B4"/>
    <w:rsid w:val="007A6396"/>
    <w:rsid w:val="007A66C4"/>
    <w:rsid w:val="007A6ED1"/>
    <w:rsid w:val="007B0CE4"/>
    <w:rsid w:val="007B16C6"/>
    <w:rsid w:val="007B1705"/>
    <w:rsid w:val="007B2FDB"/>
    <w:rsid w:val="007B4AC8"/>
    <w:rsid w:val="007C2743"/>
    <w:rsid w:val="007C2B85"/>
    <w:rsid w:val="007C31F3"/>
    <w:rsid w:val="007C417C"/>
    <w:rsid w:val="007C7FFD"/>
    <w:rsid w:val="007D1204"/>
    <w:rsid w:val="007D45A8"/>
    <w:rsid w:val="007D54EE"/>
    <w:rsid w:val="007D7904"/>
    <w:rsid w:val="007E1062"/>
    <w:rsid w:val="007E2AF4"/>
    <w:rsid w:val="007E4637"/>
    <w:rsid w:val="007E5B15"/>
    <w:rsid w:val="007E5E34"/>
    <w:rsid w:val="007F43F2"/>
    <w:rsid w:val="007F4C06"/>
    <w:rsid w:val="007F5E94"/>
    <w:rsid w:val="007F78D1"/>
    <w:rsid w:val="0080312F"/>
    <w:rsid w:val="0080367D"/>
    <w:rsid w:val="008046B5"/>
    <w:rsid w:val="00806E75"/>
    <w:rsid w:val="008101D1"/>
    <w:rsid w:val="0081141A"/>
    <w:rsid w:val="008175F9"/>
    <w:rsid w:val="00817898"/>
    <w:rsid w:val="008211F1"/>
    <w:rsid w:val="00824077"/>
    <w:rsid w:val="008264EB"/>
    <w:rsid w:val="00827F46"/>
    <w:rsid w:val="008328A5"/>
    <w:rsid w:val="00833CC1"/>
    <w:rsid w:val="00837768"/>
    <w:rsid w:val="008459CB"/>
    <w:rsid w:val="00846904"/>
    <w:rsid w:val="00846ABA"/>
    <w:rsid w:val="00846BC2"/>
    <w:rsid w:val="00846FEB"/>
    <w:rsid w:val="00850BD3"/>
    <w:rsid w:val="00852379"/>
    <w:rsid w:val="008525C4"/>
    <w:rsid w:val="0085380D"/>
    <w:rsid w:val="0085623A"/>
    <w:rsid w:val="00856297"/>
    <w:rsid w:val="008562B9"/>
    <w:rsid w:val="00857C93"/>
    <w:rsid w:val="00860565"/>
    <w:rsid w:val="00860E12"/>
    <w:rsid w:val="0086108E"/>
    <w:rsid w:val="00862F9A"/>
    <w:rsid w:val="00863E62"/>
    <w:rsid w:val="00873A43"/>
    <w:rsid w:val="00882936"/>
    <w:rsid w:val="008844DF"/>
    <w:rsid w:val="0088475B"/>
    <w:rsid w:val="00885B79"/>
    <w:rsid w:val="0088663F"/>
    <w:rsid w:val="00886D5C"/>
    <w:rsid w:val="00886F75"/>
    <w:rsid w:val="00890A13"/>
    <w:rsid w:val="00891298"/>
    <w:rsid w:val="00892102"/>
    <w:rsid w:val="00894625"/>
    <w:rsid w:val="00895611"/>
    <w:rsid w:val="00896005"/>
    <w:rsid w:val="008A0EC9"/>
    <w:rsid w:val="008A1532"/>
    <w:rsid w:val="008A4545"/>
    <w:rsid w:val="008A50B5"/>
    <w:rsid w:val="008B5B23"/>
    <w:rsid w:val="008C14CC"/>
    <w:rsid w:val="008C45A1"/>
    <w:rsid w:val="008C516D"/>
    <w:rsid w:val="008C73D4"/>
    <w:rsid w:val="008D13DC"/>
    <w:rsid w:val="008D1D9C"/>
    <w:rsid w:val="008D3F7F"/>
    <w:rsid w:val="008D41EC"/>
    <w:rsid w:val="008D76C4"/>
    <w:rsid w:val="008D7A6D"/>
    <w:rsid w:val="008E19F0"/>
    <w:rsid w:val="008F22FB"/>
    <w:rsid w:val="008F4D2C"/>
    <w:rsid w:val="008F53B0"/>
    <w:rsid w:val="008F6AA0"/>
    <w:rsid w:val="008F7DC2"/>
    <w:rsid w:val="00907992"/>
    <w:rsid w:val="009167FA"/>
    <w:rsid w:val="00916C7D"/>
    <w:rsid w:val="009228D5"/>
    <w:rsid w:val="009239D5"/>
    <w:rsid w:val="009247BE"/>
    <w:rsid w:val="0092624A"/>
    <w:rsid w:val="00926F00"/>
    <w:rsid w:val="00927625"/>
    <w:rsid w:val="00931B74"/>
    <w:rsid w:val="009343BA"/>
    <w:rsid w:val="00936CD9"/>
    <w:rsid w:val="00936E57"/>
    <w:rsid w:val="00940141"/>
    <w:rsid w:val="009427EA"/>
    <w:rsid w:val="00943C4C"/>
    <w:rsid w:val="0094442B"/>
    <w:rsid w:val="00944464"/>
    <w:rsid w:val="00946C69"/>
    <w:rsid w:val="00947098"/>
    <w:rsid w:val="00955242"/>
    <w:rsid w:val="00955C45"/>
    <w:rsid w:val="00964EA5"/>
    <w:rsid w:val="00967989"/>
    <w:rsid w:val="00972A6A"/>
    <w:rsid w:val="0097471E"/>
    <w:rsid w:val="00975456"/>
    <w:rsid w:val="00975877"/>
    <w:rsid w:val="0097668F"/>
    <w:rsid w:val="00980F72"/>
    <w:rsid w:val="00981246"/>
    <w:rsid w:val="00981D92"/>
    <w:rsid w:val="00983CCB"/>
    <w:rsid w:val="00984A5B"/>
    <w:rsid w:val="00985343"/>
    <w:rsid w:val="00986396"/>
    <w:rsid w:val="00987DE0"/>
    <w:rsid w:val="009968BE"/>
    <w:rsid w:val="009A3235"/>
    <w:rsid w:val="009A5315"/>
    <w:rsid w:val="009B2166"/>
    <w:rsid w:val="009B3E0F"/>
    <w:rsid w:val="009B5305"/>
    <w:rsid w:val="009C143B"/>
    <w:rsid w:val="009C22BD"/>
    <w:rsid w:val="009C3692"/>
    <w:rsid w:val="009C5AEC"/>
    <w:rsid w:val="009C76D8"/>
    <w:rsid w:val="009C79CD"/>
    <w:rsid w:val="009D509A"/>
    <w:rsid w:val="009D57A2"/>
    <w:rsid w:val="009E0D26"/>
    <w:rsid w:val="009E1776"/>
    <w:rsid w:val="009E1C3D"/>
    <w:rsid w:val="009E2240"/>
    <w:rsid w:val="009E3556"/>
    <w:rsid w:val="009E38F4"/>
    <w:rsid w:val="009E5BD8"/>
    <w:rsid w:val="009E62EA"/>
    <w:rsid w:val="009E6600"/>
    <w:rsid w:val="009E7306"/>
    <w:rsid w:val="009F1305"/>
    <w:rsid w:val="009F3109"/>
    <w:rsid w:val="009F4BFB"/>
    <w:rsid w:val="009F766C"/>
    <w:rsid w:val="00A001FD"/>
    <w:rsid w:val="00A0296F"/>
    <w:rsid w:val="00A0367D"/>
    <w:rsid w:val="00A03AE5"/>
    <w:rsid w:val="00A04F70"/>
    <w:rsid w:val="00A05535"/>
    <w:rsid w:val="00A05A6D"/>
    <w:rsid w:val="00A06248"/>
    <w:rsid w:val="00A0790F"/>
    <w:rsid w:val="00A07BED"/>
    <w:rsid w:val="00A07E1B"/>
    <w:rsid w:val="00A12300"/>
    <w:rsid w:val="00A209BB"/>
    <w:rsid w:val="00A20DBF"/>
    <w:rsid w:val="00A22C54"/>
    <w:rsid w:val="00A24B36"/>
    <w:rsid w:val="00A2692F"/>
    <w:rsid w:val="00A26C87"/>
    <w:rsid w:val="00A2700D"/>
    <w:rsid w:val="00A32AEC"/>
    <w:rsid w:val="00A34428"/>
    <w:rsid w:val="00A40C26"/>
    <w:rsid w:val="00A40DEF"/>
    <w:rsid w:val="00A43859"/>
    <w:rsid w:val="00A4489B"/>
    <w:rsid w:val="00A4656A"/>
    <w:rsid w:val="00A502EC"/>
    <w:rsid w:val="00A566E0"/>
    <w:rsid w:val="00A609F6"/>
    <w:rsid w:val="00A61BE0"/>
    <w:rsid w:val="00A653F8"/>
    <w:rsid w:val="00A70AE6"/>
    <w:rsid w:val="00A71366"/>
    <w:rsid w:val="00A77F10"/>
    <w:rsid w:val="00A85008"/>
    <w:rsid w:val="00A8637D"/>
    <w:rsid w:val="00A86453"/>
    <w:rsid w:val="00A86E9B"/>
    <w:rsid w:val="00A92387"/>
    <w:rsid w:val="00A92861"/>
    <w:rsid w:val="00A941E7"/>
    <w:rsid w:val="00A9477D"/>
    <w:rsid w:val="00AA15B3"/>
    <w:rsid w:val="00AA1C1F"/>
    <w:rsid w:val="00AA2F91"/>
    <w:rsid w:val="00AA5180"/>
    <w:rsid w:val="00AA6055"/>
    <w:rsid w:val="00AA6A96"/>
    <w:rsid w:val="00AA6E71"/>
    <w:rsid w:val="00AA7E0E"/>
    <w:rsid w:val="00AB1FA3"/>
    <w:rsid w:val="00AB3301"/>
    <w:rsid w:val="00AB3FD3"/>
    <w:rsid w:val="00AB4287"/>
    <w:rsid w:val="00AB566D"/>
    <w:rsid w:val="00AB68EA"/>
    <w:rsid w:val="00AC3936"/>
    <w:rsid w:val="00AC5D04"/>
    <w:rsid w:val="00AD10D5"/>
    <w:rsid w:val="00AD5F47"/>
    <w:rsid w:val="00AD7220"/>
    <w:rsid w:val="00AE394F"/>
    <w:rsid w:val="00AF0E42"/>
    <w:rsid w:val="00AF2AFB"/>
    <w:rsid w:val="00B035C9"/>
    <w:rsid w:val="00B06F4D"/>
    <w:rsid w:val="00B10A58"/>
    <w:rsid w:val="00B11C03"/>
    <w:rsid w:val="00B129F6"/>
    <w:rsid w:val="00B15507"/>
    <w:rsid w:val="00B15A26"/>
    <w:rsid w:val="00B20493"/>
    <w:rsid w:val="00B241C3"/>
    <w:rsid w:val="00B24313"/>
    <w:rsid w:val="00B24BB1"/>
    <w:rsid w:val="00B27002"/>
    <w:rsid w:val="00B30C70"/>
    <w:rsid w:val="00B31393"/>
    <w:rsid w:val="00B348B2"/>
    <w:rsid w:val="00B35B34"/>
    <w:rsid w:val="00B37D1A"/>
    <w:rsid w:val="00B37F04"/>
    <w:rsid w:val="00B426B4"/>
    <w:rsid w:val="00B46A2B"/>
    <w:rsid w:val="00B47ED6"/>
    <w:rsid w:val="00B514F5"/>
    <w:rsid w:val="00B562FC"/>
    <w:rsid w:val="00B56EB5"/>
    <w:rsid w:val="00B57DAF"/>
    <w:rsid w:val="00B6012B"/>
    <w:rsid w:val="00B673F9"/>
    <w:rsid w:val="00B71B03"/>
    <w:rsid w:val="00B7312C"/>
    <w:rsid w:val="00B73286"/>
    <w:rsid w:val="00B73483"/>
    <w:rsid w:val="00B773A0"/>
    <w:rsid w:val="00B80C02"/>
    <w:rsid w:val="00B8183C"/>
    <w:rsid w:val="00B82480"/>
    <w:rsid w:val="00B8298F"/>
    <w:rsid w:val="00B837E6"/>
    <w:rsid w:val="00B840DF"/>
    <w:rsid w:val="00B8555B"/>
    <w:rsid w:val="00B87D8B"/>
    <w:rsid w:val="00B90FDD"/>
    <w:rsid w:val="00B9259B"/>
    <w:rsid w:val="00B934C5"/>
    <w:rsid w:val="00B944C3"/>
    <w:rsid w:val="00B947B5"/>
    <w:rsid w:val="00B9503A"/>
    <w:rsid w:val="00B97F8B"/>
    <w:rsid w:val="00BA0179"/>
    <w:rsid w:val="00BA01E5"/>
    <w:rsid w:val="00BA2B14"/>
    <w:rsid w:val="00BA484D"/>
    <w:rsid w:val="00BA775C"/>
    <w:rsid w:val="00BB0AC7"/>
    <w:rsid w:val="00BB0EF8"/>
    <w:rsid w:val="00BB12DC"/>
    <w:rsid w:val="00BB2E93"/>
    <w:rsid w:val="00BB2EB4"/>
    <w:rsid w:val="00BB34E7"/>
    <w:rsid w:val="00BB3E70"/>
    <w:rsid w:val="00BB614E"/>
    <w:rsid w:val="00BB7102"/>
    <w:rsid w:val="00BC0DC4"/>
    <w:rsid w:val="00BC1777"/>
    <w:rsid w:val="00BC262B"/>
    <w:rsid w:val="00BD0500"/>
    <w:rsid w:val="00BD0BFA"/>
    <w:rsid w:val="00BD63E4"/>
    <w:rsid w:val="00BD678C"/>
    <w:rsid w:val="00BE0B16"/>
    <w:rsid w:val="00BE1E5C"/>
    <w:rsid w:val="00BE20CF"/>
    <w:rsid w:val="00BE28C2"/>
    <w:rsid w:val="00BE6942"/>
    <w:rsid w:val="00BF16A1"/>
    <w:rsid w:val="00BF4325"/>
    <w:rsid w:val="00BF7E12"/>
    <w:rsid w:val="00C00507"/>
    <w:rsid w:val="00C0082A"/>
    <w:rsid w:val="00C039F8"/>
    <w:rsid w:val="00C1240E"/>
    <w:rsid w:val="00C13231"/>
    <w:rsid w:val="00C15ED7"/>
    <w:rsid w:val="00C17007"/>
    <w:rsid w:val="00C178ED"/>
    <w:rsid w:val="00C20782"/>
    <w:rsid w:val="00C20B74"/>
    <w:rsid w:val="00C20E75"/>
    <w:rsid w:val="00C26413"/>
    <w:rsid w:val="00C30C40"/>
    <w:rsid w:val="00C328C1"/>
    <w:rsid w:val="00C3390A"/>
    <w:rsid w:val="00C40E69"/>
    <w:rsid w:val="00C42A29"/>
    <w:rsid w:val="00C5010C"/>
    <w:rsid w:val="00C53440"/>
    <w:rsid w:val="00C53DC5"/>
    <w:rsid w:val="00C56BF8"/>
    <w:rsid w:val="00C61695"/>
    <w:rsid w:val="00C623C0"/>
    <w:rsid w:val="00C632D5"/>
    <w:rsid w:val="00C63347"/>
    <w:rsid w:val="00C64A5B"/>
    <w:rsid w:val="00C72AB9"/>
    <w:rsid w:val="00C72FD3"/>
    <w:rsid w:val="00C735C5"/>
    <w:rsid w:val="00C73740"/>
    <w:rsid w:val="00C87BBC"/>
    <w:rsid w:val="00C91805"/>
    <w:rsid w:val="00C91A98"/>
    <w:rsid w:val="00C97DAD"/>
    <w:rsid w:val="00C97FC6"/>
    <w:rsid w:val="00CA0FB1"/>
    <w:rsid w:val="00CA1B2F"/>
    <w:rsid w:val="00CA2110"/>
    <w:rsid w:val="00CA3EEA"/>
    <w:rsid w:val="00CB3AE5"/>
    <w:rsid w:val="00CB53FF"/>
    <w:rsid w:val="00CB6CC4"/>
    <w:rsid w:val="00CC2156"/>
    <w:rsid w:val="00CC401A"/>
    <w:rsid w:val="00CC411A"/>
    <w:rsid w:val="00CC6AC5"/>
    <w:rsid w:val="00CD0F89"/>
    <w:rsid w:val="00CD45E3"/>
    <w:rsid w:val="00CD4C74"/>
    <w:rsid w:val="00CD7095"/>
    <w:rsid w:val="00CD756C"/>
    <w:rsid w:val="00CE25BD"/>
    <w:rsid w:val="00CE3156"/>
    <w:rsid w:val="00CE33B1"/>
    <w:rsid w:val="00CF271C"/>
    <w:rsid w:val="00CF39AF"/>
    <w:rsid w:val="00CF55B6"/>
    <w:rsid w:val="00D0211E"/>
    <w:rsid w:val="00D02189"/>
    <w:rsid w:val="00D02251"/>
    <w:rsid w:val="00D02FB6"/>
    <w:rsid w:val="00D0616F"/>
    <w:rsid w:val="00D12BF6"/>
    <w:rsid w:val="00D14CB6"/>
    <w:rsid w:val="00D17AE2"/>
    <w:rsid w:val="00D2010D"/>
    <w:rsid w:val="00D244E1"/>
    <w:rsid w:val="00D272C0"/>
    <w:rsid w:val="00D34555"/>
    <w:rsid w:val="00D37C58"/>
    <w:rsid w:val="00D42F99"/>
    <w:rsid w:val="00D549E5"/>
    <w:rsid w:val="00D55FF9"/>
    <w:rsid w:val="00D60C24"/>
    <w:rsid w:val="00D62780"/>
    <w:rsid w:val="00D67300"/>
    <w:rsid w:val="00D67DCB"/>
    <w:rsid w:val="00D71EED"/>
    <w:rsid w:val="00D74476"/>
    <w:rsid w:val="00D74BC4"/>
    <w:rsid w:val="00D7609B"/>
    <w:rsid w:val="00D77144"/>
    <w:rsid w:val="00D829CA"/>
    <w:rsid w:val="00D857BD"/>
    <w:rsid w:val="00D85D30"/>
    <w:rsid w:val="00DA5AF7"/>
    <w:rsid w:val="00DA5CF9"/>
    <w:rsid w:val="00DB3BA9"/>
    <w:rsid w:val="00DB3C78"/>
    <w:rsid w:val="00DB7590"/>
    <w:rsid w:val="00DC22D1"/>
    <w:rsid w:val="00DC6B03"/>
    <w:rsid w:val="00DC7454"/>
    <w:rsid w:val="00DE22CC"/>
    <w:rsid w:val="00DE34F8"/>
    <w:rsid w:val="00DE6EC5"/>
    <w:rsid w:val="00DE7AE0"/>
    <w:rsid w:val="00DE7BC8"/>
    <w:rsid w:val="00DF120F"/>
    <w:rsid w:val="00DF2FC6"/>
    <w:rsid w:val="00DF32BA"/>
    <w:rsid w:val="00DF53AF"/>
    <w:rsid w:val="00DF7A72"/>
    <w:rsid w:val="00E04D19"/>
    <w:rsid w:val="00E05DB7"/>
    <w:rsid w:val="00E06244"/>
    <w:rsid w:val="00E145D6"/>
    <w:rsid w:val="00E15B94"/>
    <w:rsid w:val="00E16CD6"/>
    <w:rsid w:val="00E17529"/>
    <w:rsid w:val="00E17E44"/>
    <w:rsid w:val="00E2100D"/>
    <w:rsid w:val="00E22DAA"/>
    <w:rsid w:val="00E32E94"/>
    <w:rsid w:val="00E37600"/>
    <w:rsid w:val="00E37D15"/>
    <w:rsid w:val="00E42EF6"/>
    <w:rsid w:val="00E42F4E"/>
    <w:rsid w:val="00E43E74"/>
    <w:rsid w:val="00E443D9"/>
    <w:rsid w:val="00E44F48"/>
    <w:rsid w:val="00E5222F"/>
    <w:rsid w:val="00E52FE8"/>
    <w:rsid w:val="00E54AFF"/>
    <w:rsid w:val="00E60C08"/>
    <w:rsid w:val="00E632E9"/>
    <w:rsid w:val="00E65919"/>
    <w:rsid w:val="00E65DB1"/>
    <w:rsid w:val="00E66D81"/>
    <w:rsid w:val="00E6778E"/>
    <w:rsid w:val="00E701E7"/>
    <w:rsid w:val="00E71E3C"/>
    <w:rsid w:val="00E7208C"/>
    <w:rsid w:val="00E74FD4"/>
    <w:rsid w:val="00E820DE"/>
    <w:rsid w:val="00E821A9"/>
    <w:rsid w:val="00E86B90"/>
    <w:rsid w:val="00E87156"/>
    <w:rsid w:val="00E907F3"/>
    <w:rsid w:val="00E91589"/>
    <w:rsid w:val="00E948A9"/>
    <w:rsid w:val="00EA0B94"/>
    <w:rsid w:val="00EA2560"/>
    <w:rsid w:val="00EA4C37"/>
    <w:rsid w:val="00EA648B"/>
    <w:rsid w:val="00EB1CE8"/>
    <w:rsid w:val="00EB2A13"/>
    <w:rsid w:val="00EB31AF"/>
    <w:rsid w:val="00EC0634"/>
    <w:rsid w:val="00EC5F2B"/>
    <w:rsid w:val="00EC68FA"/>
    <w:rsid w:val="00ED0B4D"/>
    <w:rsid w:val="00ED451E"/>
    <w:rsid w:val="00ED56CB"/>
    <w:rsid w:val="00ED6DE9"/>
    <w:rsid w:val="00EE238C"/>
    <w:rsid w:val="00EE6FEC"/>
    <w:rsid w:val="00EF184F"/>
    <w:rsid w:val="00EF2977"/>
    <w:rsid w:val="00EF3B4B"/>
    <w:rsid w:val="00EF4A5D"/>
    <w:rsid w:val="00EF6F67"/>
    <w:rsid w:val="00EF7C3B"/>
    <w:rsid w:val="00EF7FC5"/>
    <w:rsid w:val="00F057B7"/>
    <w:rsid w:val="00F07716"/>
    <w:rsid w:val="00F07792"/>
    <w:rsid w:val="00F1178B"/>
    <w:rsid w:val="00F12D48"/>
    <w:rsid w:val="00F17414"/>
    <w:rsid w:val="00F22F7A"/>
    <w:rsid w:val="00F23604"/>
    <w:rsid w:val="00F25C95"/>
    <w:rsid w:val="00F310A0"/>
    <w:rsid w:val="00F32788"/>
    <w:rsid w:val="00F3423B"/>
    <w:rsid w:val="00F352C9"/>
    <w:rsid w:val="00F40C92"/>
    <w:rsid w:val="00F44BEC"/>
    <w:rsid w:val="00F451CA"/>
    <w:rsid w:val="00F454DA"/>
    <w:rsid w:val="00F45598"/>
    <w:rsid w:val="00F50C19"/>
    <w:rsid w:val="00F57DDD"/>
    <w:rsid w:val="00F61C4C"/>
    <w:rsid w:val="00F6415D"/>
    <w:rsid w:val="00F65883"/>
    <w:rsid w:val="00F66094"/>
    <w:rsid w:val="00F76E15"/>
    <w:rsid w:val="00F8128F"/>
    <w:rsid w:val="00F82D3E"/>
    <w:rsid w:val="00F857F3"/>
    <w:rsid w:val="00F87992"/>
    <w:rsid w:val="00FA574F"/>
    <w:rsid w:val="00FB2BB6"/>
    <w:rsid w:val="00FB4785"/>
    <w:rsid w:val="00FB56E0"/>
    <w:rsid w:val="00FB6569"/>
    <w:rsid w:val="00FB7F2A"/>
    <w:rsid w:val="00FC015B"/>
    <w:rsid w:val="00FC027C"/>
    <w:rsid w:val="00FC05C5"/>
    <w:rsid w:val="00FC0D13"/>
    <w:rsid w:val="00FC1132"/>
    <w:rsid w:val="00FC1C68"/>
    <w:rsid w:val="00FC3834"/>
    <w:rsid w:val="00FD0638"/>
    <w:rsid w:val="00FD0AC4"/>
    <w:rsid w:val="00FD5BB8"/>
    <w:rsid w:val="00FE2482"/>
    <w:rsid w:val="00FE2946"/>
    <w:rsid w:val="00FE3877"/>
    <w:rsid w:val="00FE407B"/>
    <w:rsid w:val="00FE549D"/>
    <w:rsid w:val="00FE7ADE"/>
    <w:rsid w:val="00FE7E7C"/>
    <w:rsid w:val="00FF1442"/>
    <w:rsid w:val="00FF14FE"/>
    <w:rsid w:val="00FF3BF6"/>
    <w:rsid w:val="00FF467A"/>
    <w:rsid w:val="00FF56DE"/>
    <w:rsid w:val="00FF577B"/>
    <w:rsid w:val="00FF7FBD"/>
    <w:rsid w:val="01235EFA"/>
    <w:rsid w:val="018A6E8E"/>
    <w:rsid w:val="01BF17A3"/>
    <w:rsid w:val="02232906"/>
    <w:rsid w:val="028B6DC0"/>
    <w:rsid w:val="0294744A"/>
    <w:rsid w:val="02976CA9"/>
    <w:rsid w:val="02BF0E62"/>
    <w:rsid w:val="02C17365"/>
    <w:rsid w:val="02D66AB7"/>
    <w:rsid w:val="031174B9"/>
    <w:rsid w:val="032948CD"/>
    <w:rsid w:val="037D0E60"/>
    <w:rsid w:val="03BA5B8C"/>
    <w:rsid w:val="040859B1"/>
    <w:rsid w:val="0413538B"/>
    <w:rsid w:val="042157F1"/>
    <w:rsid w:val="04281C59"/>
    <w:rsid w:val="0457261C"/>
    <w:rsid w:val="04952948"/>
    <w:rsid w:val="049D397B"/>
    <w:rsid w:val="04CF6A81"/>
    <w:rsid w:val="05116793"/>
    <w:rsid w:val="055337B9"/>
    <w:rsid w:val="0562666C"/>
    <w:rsid w:val="05A23778"/>
    <w:rsid w:val="05AE7313"/>
    <w:rsid w:val="0602133F"/>
    <w:rsid w:val="0608332A"/>
    <w:rsid w:val="064C2D63"/>
    <w:rsid w:val="06641E8D"/>
    <w:rsid w:val="068A0348"/>
    <w:rsid w:val="06FE4AC2"/>
    <w:rsid w:val="06FF4B93"/>
    <w:rsid w:val="070365D4"/>
    <w:rsid w:val="07087A71"/>
    <w:rsid w:val="073B3E22"/>
    <w:rsid w:val="0797231F"/>
    <w:rsid w:val="07B11588"/>
    <w:rsid w:val="07CA3755"/>
    <w:rsid w:val="08156335"/>
    <w:rsid w:val="086A45F7"/>
    <w:rsid w:val="08742C06"/>
    <w:rsid w:val="087A198C"/>
    <w:rsid w:val="08DA6540"/>
    <w:rsid w:val="090306B8"/>
    <w:rsid w:val="093703F9"/>
    <w:rsid w:val="09987AC4"/>
    <w:rsid w:val="0A6D40FD"/>
    <w:rsid w:val="0A773267"/>
    <w:rsid w:val="0AA412F8"/>
    <w:rsid w:val="0AA60F94"/>
    <w:rsid w:val="0ABB6569"/>
    <w:rsid w:val="0ACC132F"/>
    <w:rsid w:val="0AD36A92"/>
    <w:rsid w:val="0AD75277"/>
    <w:rsid w:val="0B3626C8"/>
    <w:rsid w:val="0B602530"/>
    <w:rsid w:val="0BE355E3"/>
    <w:rsid w:val="0BFD3769"/>
    <w:rsid w:val="0C350B6F"/>
    <w:rsid w:val="0C655B82"/>
    <w:rsid w:val="0CE84805"/>
    <w:rsid w:val="0D054BE5"/>
    <w:rsid w:val="0D7C010D"/>
    <w:rsid w:val="0DB47C3E"/>
    <w:rsid w:val="0E6575EC"/>
    <w:rsid w:val="0E6F2FC3"/>
    <w:rsid w:val="0EBE215D"/>
    <w:rsid w:val="0EC13BAD"/>
    <w:rsid w:val="0EDC39CA"/>
    <w:rsid w:val="0F0E7A69"/>
    <w:rsid w:val="0FF51CF1"/>
    <w:rsid w:val="102226E7"/>
    <w:rsid w:val="10746227"/>
    <w:rsid w:val="108574F6"/>
    <w:rsid w:val="10B02685"/>
    <w:rsid w:val="116A630F"/>
    <w:rsid w:val="11E539FE"/>
    <w:rsid w:val="12081C0B"/>
    <w:rsid w:val="12171F3C"/>
    <w:rsid w:val="12361ED6"/>
    <w:rsid w:val="127A1044"/>
    <w:rsid w:val="12B35937"/>
    <w:rsid w:val="12DE7902"/>
    <w:rsid w:val="12F901B1"/>
    <w:rsid w:val="130446E3"/>
    <w:rsid w:val="132A6439"/>
    <w:rsid w:val="135F24D8"/>
    <w:rsid w:val="13A94AD3"/>
    <w:rsid w:val="13CF02A8"/>
    <w:rsid w:val="13D054FA"/>
    <w:rsid w:val="13F63E7B"/>
    <w:rsid w:val="14634C26"/>
    <w:rsid w:val="14AF109A"/>
    <w:rsid w:val="14DC13D1"/>
    <w:rsid w:val="151029FA"/>
    <w:rsid w:val="1521410E"/>
    <w:rsid w:val="152A16D5"/>
    <w:rsid w:val="152C5D51"/>
    <w:rsid w:val="155B2944"/>
    <w:rsid w:val="15BE556B"/>
    <w:rsid w:val="15E80DE1"/>
    <w:rsid w:val="15EF7161"/>
    <w:rsid w:val="16162DE8"/>
    <w:rsid w:val="165212F9"/>
    <w:rsid w:val="16680E29"/>
    <w:rsid w:val="16D92336"/>
    <w:rsid w:val="172769BB"/>
    <w:rsid w:val="1734624C"/>
    <w:rsid w:val="17480F6D"/>
    <w:rsid w:val="17592E55"/>
    <w:rsid w:val="1771767B"/>
    <w:rsid w:val="17726843"/>
    <w:rsid w:val="17F15940"/>
    <w:rsid w:val="180702D4"/>
    <w:rsid w:val="18133857"/>
    <w:rsid w:val="183234EC"/>
    <w:rsid w:val="184B5AED"/>
    <w:rsid w:val="18A93456"/>
    <w:rsid w:val="18B3022F"/>
    <w:rsid w:val="18E4123C"/>
    <w:rsid w:val="18EA73C7"/>
    <w:rsid w:val="18F602C8"/>
    <w:rsid w:val="196B4089"/>
    <w:rsid w:val="19A6451B"/>
    <w:rsid w:val="19BB441C"/>
    <w:rsid w:val="19E07D2D"/>
    <w:rsid w:val="1A3E44FB"/>
    <w:rsid w:val="1A7F5F8E"/>
    <w:rsid w:val="1AB03091"/>
    <w:rsid w:val="1AD71FC1"/>
    <w:rsid w:val="1AD835F0"/>
    <w:rsid w:val="1AE77937"/>
    <w:rsid w:val="1B2356A4"/>
    <w:rsid w:val="1B241DFB"/>
    <w:rsid w:val="1BBE196A"/>
    <w:rsid w:val="1BC00860"/>
    <w:rsid w:val="1BEC27AD"/>
    <w:rsid w:val="1BED1C6D"/>
    <w:rsid w:val="1C032D62"/>
    <w:rsid w:val="1C1B25AD"/>
    <w:rsid w:val="1C8E7F63"/>
    <w:rsid w:val="1CF66B21"/>
    <w:rsid w:val="1D5073E3"/>
    <w:rsid w:val="1D652998"/>
    <w:rsid w:val="1D6D4CD4"/>
    <w:rsid w:val="1D716975"/>
    <w:rsid w:val="1DCE43A5"/>
    <w:rsid w:val="1DFB40AC"/>
    <w:rsid w:val="1E2D251B"/>
    <w:rsid w:val="1E6E022F"/>
    <w:rsid w:val="1E9849C3"/>
    <w:rsid w:val="1ED42CCF"/>
    <w:rsid w:val="1F153EAB"/>
    <w:rsid w:val="1F306F5A"/>
    <w:rsid w:val="1F4E2BDA"/>
    <w:rsid w:val="1F506A3E"/>
    <w:rsid w:val="1F6E5E61"/>
    <w:rsid w:val="1F6F6339"/>
    <w:rsid w:val="1FAC0763"/>
    <w:rsid w:val="1FD0117C"/>
    <w:rsid w:val="20327F4D"/>
    <w:rsid w:val="2099045C"/>
    <w:rsid w:val="209E2272"/>
    <w:rsid w:val="20B27DF5"/>
    <w:rsid w:val="20D15B3C"/>
    <w:rsid w:val="210822EE"/>
    <w:rsid w:val="21CE052B"/>
    <w:rsid w:val="21D44E65"/>
    <w:rsid w:val="21F00F09"/>
    <w:rsid w:val="223753F7"/>
    <w:rsid w:val="228620E0"/>
    <w:rsid w:val="22C15E9C"/>
    <w:rsid w:val="22F31992"/>
    <w:rsid w:val="22FE3077"/>
    <w:rsid w:val="23175CEB"/>
    <w:rsid w:val="2385418C"/>
    <w:rsid w:val="23A95D19"/>
    <w:rsid w:val="23C04FEC"/>
    <w:rsid w:val="23FD0CB9"/>
    <w:rsid w:val="240E3C18"/>
    <w:rsid w:val="246E308C"/>
    <w:rsid w:val="24832D1E"/>
    <w:rsid w:val="24C66090"/>
    <w:rsid w:val="253E24BE"/>
    <w:rsid w:val="26160CEB"/>
    <w:rsid w:val="2661265E"/>
    <w:rsid w:val="26940706"/>
    <w:rsid w:val="26C0260E"/>
    <w:rsid w:val="26D3382A"/>
    <w:rsid w:val="26E87880"/>
    <w:rsid w:val="27127D94"/>
    <w:rsid w:val="27193215"/>
    <w:rsid w:val="271A0B6F"/>
    <w:rsid w:val="27A37EE3"/>
    <w:rsid w:val="27B32B08"/>
    <w:rsid w:val="27EA416C"/>
    <w:rsid w:val="27EE6FF6"/>
    <w:rsid w:val="282B3A1B"/>
    <w:rsid w:val="28641405"/>
    <w:rsid w:val="28A41F49"/>
    <w:rsid w:val="28C11CFA"/>
    <w:rsid w:val="28D05C1D"/>
    <w:rsid w:val="29076761"/>
    <w:rsid w:val="290767EE"/>
    <w:rsid w:val="29227F51"/>
    <w:rsid w:val="29483E4E"/>
    <w:rsid w:val="29806E9B"/>
    <w:rsid w:val="298C59E1"/>
    <w:rsid w:val="299D4F83"/>
    <w:rsid w:val="29AD523D"/>
    <w:rsid w:val="29BF6E2B"/>
    <w:rsid w:val="29D36AFB"/>
    <w:rsid w:val="29FE0F2E"/>
    <w:rsid w:val="2A057399"/>
    <w:rsid w:val="2A18440E"/>
    <w:rsid w:val="2A361BBB"/>
    <w:rsid w:val="2A6218DD"/>
    <w:rsid w:val="2ABE5B1A"/>
    <w:rsid w:val="2ACF53C3"/>
    <w:rsid w:val="2B0B4AD7"/>
    <w:rsid w:val="2B4A5ACC"/>
    <w:rsid w:val="2BC4795F"/>
    <w:rsid w:val="2BDC22F0"/>
    <w:rsid w:val="2C043959"/>
    <w:rsid w:val="2C393304"/>
    <w:rsid w:val="2DB31B0C"/>
    <w:rsid w:val="2E2F5F64"/>
    <w:rsid w:val="2E4E162F"/>
    <w:rsid w:val="2E6C7730"/>
    <w:rsid w:val="2EFE68BD"/>
    <w:rsid w:val="2F4A7A89"/>
    <w:rsid w:val="2F651D22"/>
    <w:rsid w:val="2FB31AAB"/>
    <w:rsid w:val="2FEC386D"/>
    <w:rsid w:val="2FF3547C"/>
    <w:rsid w:val="30063380"/>
    <w:rsid w:val="300E7B7C"/>
    <w:rsid w:val="30247359"/>
    <w:rsid w:val="30966A88"/>
    <w:rsid w:val="30CD44CB"/>
    <w:rsid w:val="30FE2388"/>
    <w:rsid w:val="317572C2"/>
    <w:rsid w:val="323643EB"/>
    <w:rsid w:val="325C772A"/>
    <w:rsid w:val="328B387A"/>
    <w:rsid w:val="32C15B50"/>
    <w:rsid w:val="32CD6F1F"/>
    <w:rsid w:val="32E94130"/>
    <w:rsid w:val="32F472F0"/>
    <w:rsid w:val="330D4D4E"/>
    <w:rsid w:val="331271C9"/>
    <w:rsid w:val="33162C56"/>
    <w:rsid w:val="333555D7"/>
    <w:rsid w:val="33764292"/>
    <w:rsid w:val="338611C3"/>
    <w:rsid w:val="339B0633"/>
    <w:rsid w:val="33AA7BA3"/>
    <w:rsid w:val="340F057C"/>
    <w:rsid w:val="34113925"/>
    <w:rsid w:val="341753B9"/>
    <w:rsid w:val="34261116"/>
    <w:rsid w:val="343F0490"/>
    <w:rsid w:val="34695969"/>
    <w:rsid w:val="34723741"/>
    <w:rsid w:val="34D56A4E"/>
    <w:rsid w:val="34E51A22"/>
    <w:rsid w:val="35D563C2"/>
    <w:rsid w:val="364A7506"/>
    <w:rsid w:val="365D3AE1"/>
    <w:rsid w:val="367053BA"/>
    <w:rsid w:val="367A1AEE"/>
    <w:rsid w:val="369705A6"/>
    <w:rsid w:val="36D926F7"/>
    <w:rsid w:val="36E86388"/>
    <w:rsid w:val="373E71B3"/>
    <w:rsid w:val="3764206F"/>
    <w:rsid w:val="378206C6"/>
    <w:rsid w:val="37AF41AF"/>
    <w:rsid w:val="37B565EE"/>
    <w:rsid w:val="37BB3065"/>
    <w:rsid w:val="37C00BB7"/>
    <w:rsid w:val="37FD0523"/>
    <w:rsid w:val="38233460"/>
    <w:rsid w:val="38344B4A"/>
    <w:rsid w:val="38533AF8"/>
    <w:rsid w:val="38693C4C"/>
    <w:rsid w:val="38775C5F"/>
    <w:rsid w:val="39072DDF"/>
    <w:rsid w:val="39165C8D"/>
    <w:rsid w:val="392D3599"/>
    <w:rsid w:val="39345A2A"/>
    <w:rsid w:val="396443E1"/>
    <w:rsid w:val="39A459AF"/>
    <w:rsid w:val="39AE0C42"/>
    <w:rsid w:val="39C221DF"/>
    <w:rsid w:val="39CB0353"/>
    <w:rsid w:val="39D062CE"/>
    <w:rsid w:val="39E43445"/>
    <w:rsid w:val="3A24665B"/>
    <w:rsid w:val="3A584F95"/>
    <w:rsid w:val="3A9D09AC"/>
    <w:rsid w:val="3A9E3AD0"/>
    <w:rsid w:val="3AAE4EA3"/>
    <w:rsid w:val="3AC326B4"/>
    <w:rsid w:val="3B4B7824"/>
    <w:rsid w:val="3B500B14"/>
    <w:rsid w:val="3B533C10"/>
    <w:rsid w:val="3BB03FE1"/>
    <w:rsid w:val="3BE66515"/>
    <w:rsid w:val="3C616FC1"/>
    <w:rsid w:val="3C633C5D"/>
    <w:rsid w:val="3C635C87"/>
    <w:rsid w:val="3C881745"/>
    <w:rsid w:val="3C961BDC"/>
    <w:rsid w:val="3C9E450A"/>
    <w:rsid w:val="3CAD5E9C"/>
    <w:rsid w:val="3CE4165B"/>
    <w:rsid w:val="3CEC57A0"/>
    <w:rsid w:val="3CF922A8"/>
    <w:rsid w:val="3D9E4FD8"/>
    <w:rsid w:val="3DDE4321"/>
    <w:rsid w:val="3E13156A"/>
    <w:rsid w:val="3E274C09"/>
    <w:rsid w:val="3E2C5A7E"/>
    <w:rsid w:val="3E3A0CF2"/>
    <w:rsid w:val="3E674A7D"/>
    <w:rsid w:val="3EA411AA"/>
    <w:rsid w:val="3EC86D7C"/>
    <w:rsid w:val="3EC91F35"/>
    <w:rsid w:val="3EE41A71"/>
    <w:rsid w:val="3EF53192"/>
    <w:rsid w:val="3F01778F"/>
    <w:rsid w:val="3F8E1714"/>
    <w:rsid w:val="40224F4D"/>
    <w:rsid w:val="402D5C72"/>
    <w:rsid w:val="40747484"/>
    <w:rsid w:val="40B55531"/>
    <w:rsid w:val="40B849BD"/>
    <w:rsid w:val="40C72BB3"/>
    <w:rsid w:val="40C92AE6"/>
    <w:rsid w:val="40D20119"/>
    <w:rsid w:val="40D2324C"/>
    <w:rsid w:val="40FA0903"/>
    <w:rsid w:val="41065EA1"/>
    <w:rsid w:val="4144745F"/>
    <w:rsid w:val="4145589F"/>
    <w:rsid w:val="416174A9"/>
    <w:rsid w:val="419A0C00"/>
    <w:rsid w:val="419E07AB"/>
    <w:rsid w:val="41CE462D"/>
    <w:rsid w:val="41E5155F"/>
    <w:rsid w:val="41F71FF6"/>
    <w:rsid w:val="42485370"/>
    <w:rsid w:val="425D702D"/>
    <w:rsid w:val="42721927"/>
    <w:rsid w:val="42A50B19"/>
    <w:rsid w:val="42A81C11"/>
    <w:rsid w:val="42E002F7"/>
    <w:rsid w:val="42E96CE5"/>
    <w:rsid w:val="43043492"/>
    <w:rsid w:val="433F5224"/>
    <w:rsid w:val="43455DF4"/>
    <w:rsid w:val="436F7A06"/>
    <w:rsid w:val="437E493D"/>
    <w:rsid w:val="43920122"/>
    <w:rsid w:val="439360D7"/>
    <w:rsid w:val="43A013ED"/>
    <w:rsid w:val="44714E59"/>
    <w:rsid w:val="456352B6"/>
    <w:rsid w:val="457E1872"/>
    <w:rsid w:val="45900617"/>
    <w:rsid w:val="459E50C5"/>
    <w:rsid w:val="45B30E09"/>
    <w:rsid w:val="45BB5C54"/>
    <w:rsid w:val="460C3942"/>
    <w:rsid w:val="46491CE4"/>
    <w:rsid w:val="469D7084"/>
    <w:rsid w:val="46F01786"/>
    <w:rsid w:val="47085F62"/>
    <w:rsid w:val="471D3B68"/>
    <w:rsid w:val="47346699"/>
    <w:rsid w:val="474942AA"/>
    <w:rsid w:val="47A40790"/>
    <w:rsid w:val="47A52A27"/>
    <w:rsid w:val="47DC7722"/>
    <w:rsid w:val="48025E82"/>
    <w:rsid w:val="48646139"/>
    <w:rsid w:val="48957C85"/>
    <w:rsid w:val="48B3474D"/>
    <w:rsid w:val="49A91B04"/>
    <w:rsid w:val="49DC55D7"/>
    <w:rsid w:val="49EE2E55"/>
    <w:rsid w:val="4A13336C"/>
    <w:rsid w:val="4A257DB4"/>
    <w:rsid w:val="4AA85D8C"/>
    <w:rsid w:val="4AD5067B"/>
    <w:rsid w:val="4B2F1492"/>
    <w:rsid w:val="4B4A36D8"/>
    <w:rsid w:val="4B6A7A06"/>
    <w:rsid w:val="4B935084"/>
    <w:rsid w:val="4BB83B84"/>
    <w:rsid w:val="4BBA7376"/>
    <w:rsid w:val="4C2E1EE1"/>
    <w:rsid w:val="4CBF6D5B"/>
    <w:rsid w:val="4CD63352"/>
    <w:rsid w:val="4CDD5C33"/>
    <w:rsid w:val="4CE9640B"/>
    <w:rsid w:val="4D936E97"/>
    <w:rsid w:val="4DC41D21"/>
    <w:rsid w:val="4DC63955"/>
    <w:rsid w:val="4DD3125F"/>
    <w:rsid w:val="4DE612AD"/>
    <w:rsid w:val="4E2D37F1"/>
    <w:rsid w:val="4E550425"/>
    <w:rsid w:val="4E703C28"/>
    <w:rsid w:val="4E8D0F28"/>
    <w:rsid w:val="4EA03C18"/>
    <w:rsid w:val="4F292B50"/>
    <w:rsid w:val="4F2E7214"/>
    <w:rsid w:val="4F614351"/>
    <w:rsid w:val="4F774078"/>
    <w:rsid w:val="4FCB7164"/>
    <w:rsid w:val="4FD923E2"/>
    <w:rsid w:val="4FDC32C1"/>
    <w:rsid w:val="4FE85613"/>
    <w:rsid w:val="50111E25"/>
    <w:rsid w:val="50220A8B"/>
    <w:rsid w:val="502E4959"/>
    <w:rsid w:val="510005F9"/>
    <w:rsid w:val="51044DF0"/>
    <w:rsid w:val="511E1BC0"/>
    <w:rsid w:val="51436A4B"/>
    <w:rsid w:val="516C06B0"/>
    <w:rsid w:val="522E7DD5"/>
    <w:rsid w:val="524C0921"/>
    <w:rsid w:val="52F36A7E"/>
    <w:rsid w:val="52F850E7"/>
    <w:rsid w:val="53103466"/>
    <w:rsid w:val="531E1E99"/>
    <w:rsid w:val="53281A79"/>
    <w:rsid w:val="53A02A16"/>
    <w:rsid w:val="53B30D2F"/>
    <w:rsid w:val="53CA78C5"/>
    <w:rsid w:val="53F8586D"/>
    <w:rsid w:val="540E78EC"/>
    <w:rsid w:val="5411796F"/>
    <w:rsid w:val="541E0A1C"/>
    <w:rsid w:val="54332C1E"/>
    <w:rsid w:val="54506FC6"/>
    <w:rsid w:val="545C5B47"/>
    <w:rsid w:val="54DF513C"/>
    <w:rsid w:val="54F16AAA"/>
    <w:rsid w:val="555750B7"/>
    <w:rsid w:val="556B16F3"/>
    <w:rsid w:val="55A238C1"/>
    <w:rsid w:val="55D842C4"/>
    <w:rsid w:val="56A85A0C"/>
    <w:rsid w:val="56B753E6"/>
    <w:rsid w:val="56DE6560"/>
    <w:rsid w:val="571942D7"/>
    <w:rsid w:val="57232066"/>
    <w:rsid w:val="572B314C"/>
    <w:rsid w:val="57544FA3"/>
    <w:rsid w:val="578C3C44"/>
    <w:rsid w:val="58D87694"/>
    <w:rsid w:val="590C3055"/>
    <w:rsid w:val="596722BC"/>
    <w:rsid w:val="598A3098"/>
    <w:rsid w:val="59B301D2"/>
    <w:rsid w:val="59D24885"/>
    <w:rsid w:val="59F10CE3"/>
    <w:rsid w:val="59F61CAA"/>
    <w:rsid w:val="5A0A4028"/>
    <w:rsid w:val="5A831C99"/>
    <w:rsid w:val="5ABF13FB"/>
    <w:rsid w:val="5AFB2FF4"/>
    <w:rsid w:val="5B034C69"/>
    <w:rsid w:val="5B1C63F2"/>
    <w:rsid w:val="5B442DD7"/>
    <w:rsid w:val="5BAF12BD"/>
    <w:rsid w:val="5BB94401"/>
    <w:rsid w:val="5BBB77D7"/>
    <w:rsid w:val="5C1E196E"/>
    <w:rsid w:val="5C5319E5"/>
    <w:rsid w:val="5CE333D4"/>
    <w:rsid w:val="5CF60894"/>
    <w:rsid w:val="5D0F664C"/>
    <w:rsid w:val="5D5E3E7E"/>
    <w:rsid w:val="5D7D5D1D"/>
    <w:rsid w:val="5DB46F7F"/>
    <w:rsid w:val="5DD73CCD"/>
    <w:rsid w:val="5DDB457C"/>
    <w:rsid w:val="5E20467D"/>
    <w:rsid w:val="5E596AD4"/>
    <w:rsid w:val="5E6673EB"/>
    <w:rsid w:val="5E7910D0"/>
    <w:rsid w:val="5EBB6E09"/>
    <w:rsid w:val="5ED82C4E"/>
    <w:rsid w:val="5EE73E57"/>
    <w:rsid w:val="5EF05579"/>
    <w:rsid w:val="5F0B1519"/>
    <w:rsid w:val="5F436E20"/>
    <w:rsid w:val="5F531EF7"/>
    <w:rsid w:val="5F7427AE"/>
    <w:rsid w:val="5F7B3272"/>
    <w:rsid w:val="5F8A67E3"/>
    <w:rsid w:val="5FEA150B"/>
    <w:rsid w:val="5FEA4F0D"/>
    <w:rsid w:val="5FF846D6"/>
    <w:rsid w:val="601D496B"/>
    <w:rsid w:val="6029170A"/>
    <w:rsid w:val="603336EC"/>
    <w:rsid w:val="6038175D"/>
    <w:rsid w:val="603F6C77"/>
    <w:rsid w:val="60581BAF"/>
    <w:rsid w:val="60684C1C"/>
    <w:rsid w:val="60B72CCA"/>
    <w:rsid w:val="61184464"/>
    <w:rsid w:val="61317B42"/>
    <w:rsid w:val="617C4B2A"/>
    <w:rsid w:val="61806C50"/>
    <w:rsid w:val="61836B79"/>
    <w:rsid w:val="61863906"/>
    <w:rsid w:val="61940D61"/>
    <w:rsid w:val="61963A7D"/>
    <w:rsid w:val="619C22FA"/>
    <w:rsid w:val="61A01964"/>
    <w:rsid w:val="61A4611C"/>
    <w:rsid w:val="61AF2DCE"/>
    <w:rsid w:val="61F52B25"/>
    <w:rsid w:val="61F617FB"/>
    <w:rsid w:val="62121BDC"/>
    <w:rsid w:val="62FE5DC2"/>
    <w:rsid w:val="630A5F3D"/>
    <w:rsid w:val="63136696"/>
    <w:rsid w:val="63A033BB"/>
    <w:rsid w:val="63BB7FB1"/>
    <w:rsid w:val="63D46BE8"/>
    <w:rsid w:val="64026131"/>
    <w:rsid w:val="641E4864"/>
    <w:rsid w:val="64260560"/>
    <w:rsid w:val="642A1540"/>
    <w:rsid w:val="643871F0"/>
    <w:rsid w:val="6482379B"/>
    <w:rsid w:val="651205EB"/>
    <w:rsid w:val="655C09DD"/>
    <w:rsid w:val="657A4275"/>
    <w:rsid w:val="657F6F57"/>
    <w:rsid w:val="659B7470"/>
    <w:rsid w:val="65DD5F2B"/>
    <w:rsid w:val="66C770A6"/>
    <w:rsid w:val="66F130EC"/>
    <w:rsid w:val="6734566F"/>
    <w:rsid w:val="673E166B"/>
    <w:rsid w:val="6752069C"/>
    <w:rsid w:val="676554F6"/>
    <w:rsid w:val="67AB4BF1"/>
    <w:rsid w:val="6804088D"/>
    <w:rsid w:val="6811513A"/>
    <w:rsid w:val="689123F7"/>
    <w:rsid w:val="691076C6"/>
    <w:rsid w:val="693E16C7"/>
    <w:rsid w:val="69B3500F"/>
    <w:rsid w:val="69C55696"/>
    <w:rsid w:val="6A3B1839"/>
    <w:rsid w:val="6A6D356A"/>
    <w:rsid w:val="6A9A56CE"/>
    <w:rsid w:val="6AB973EF"/>
    <w:rsid w:val="6AC85FB9"/>
    <w:rsid w:val="6AD66F6F"/>
    <w:rsid w:val="6B107610"/>
    <w:rsid w:val="6B9428F0"/>
    <w:rsid w:val="6C60717B"/>
    <w:rsid w:val="6CCE2F48"/>
    <w:rsid w:val="6CF46635"/>
    <w:rsid w:val="6D087585"/>
    <w:rsid w:val="6D464A92"/>
    <w:rsid w:val="6D5C78E9"/>
    <w:rsid w:val="6D642AB6"/>
    <w:rsid w:val="6D7E6E75"/>
    <w:rsid w:val="6D8147E8"/>
    <w:rsid w:val="6D8B6A2F"/>
    <w:rsid w:val="6DCA2643"/>
    <w:rsid w:val="6DDF11D1"/>
    <w:rsid w:val="6DE866EC"/>
    <w:rsid w:val="6E2E5082"/>
    <w:rsid w:val="6E523D54"/>
    <w:rsid w:val="6E58010F"/>
    <w:rsid w:val="6EA771F9"/>
    <w:rsid w:val="6ED03F51"/>
    <w:rsid w:val="6F0B0A2A"/>
    <w:rsid w:val="6F0D212A"/>
    <w:rsid w:val="6F423525"/>
    <w:rsid w:val="6F482839"/>
    <w:rsid w:val="6F621F30"/>
    <w:rsid w:val="6F867B7E"/>
    <w:rsid w:val="6FC73DE7"/>
    <w:rsid w:val="6FDC339E"/>
    <w:rsid w:val="702862BB"/>
    <w:rsid w:val="70382635"/>
    <w:rsid w:val="70B31C49"/>
    <w:rsid w:val="71B34DF6"/>
    <w:rsid w:val="71D34D0B"/>
    <w:rsid w:val="71EA0AA5"/>
    <w:rsid w:val="720657E8"/>
    <w:rsid w:val="723136E2"/>
    <w:rsid w:val="72714844"/>
    <w:rsid w:val="7272110B"/>
    <w:rsid w:val="727F09E6"/>
    <w:rsid w:val="72C21C7E"/>
    <w:rsid w:val="72D82955"/>
    <w:rsid w:val="73132B8B"/>
    <w:rsid w:val="733F5E7E"/>
    <w:rsid w:val="737D22B8"/>
    <w:rsid w:val="739505A0"/>
    <w:rsid w:val="73A47B56"/>
    <w:rsid w:val="73AA5AA9"/>
    <w:rsid w:val="73D74733"/>
    <w:rsid w:val="73EB5C71"/>
    <w:rsid w:val="73F071AA"/>
    <w:rsid w:val="73FA2C4F"/>
    <w:rsid w:val="74092B1A"/>
    <w:rsid w:val="740A2B22"/>
    <w:rsid w:val="749D1B61"/>
    <w:rsid w:val="74A27855"/>
    <w:rsid w:val="74D3353D"/>
    <w:rsid w:val="750C0A23"/>
    <w:rsid w:val="75625012"/>
    <w:rsid w:val="75F17013"/>
    <w:rsid w:val="75F679FB"/>
    <w:rsid w:val="76274189"/>
    <w:rsid w:val="762C3699"/>
    <w:rsid w:val="76325220"/>
    <w:rsid w:val="76796D02"/>
    <w:rsid w:val="76A277E1"/>
    <w:rsid w:val="76F52394"/>
    <w:rsid w:val="772B1AE6"/>
    <w:rsid w:val="77376606"/>
    <w:rsid w:val="7758189A"/>
    <w:rsid w:val="77BB0F33"/>
    <w:rsid w:val="77D2307B"/>
    <w:rsid w:val="77D84081"/>
    <w:rsid w:val="782175E3"/>
    <w:rsid w:val="78641C94"/>
    <w:rsid w:val="78C53173"/>
    <w:rsid w:val="78E70AF2"/>
    <w:rsid w:val="79084739"/>
    <w:rsid w:val="790B3C70"/>
    <w:rsid w:val="792F0F64"/>
    <w:rsid w:val="796357B1"/>
    <w:rsid w:val="79A44B88"/>
    <w:rsid w:val="79C76EEC"/>
    <w:rsid w:val="79F764B3"/>
    <w:rsid w:val="7A513662"/>
    <w:rsid w:val="7A5408A0"/>
    <w:rsid w:val="7A547AC0"/>
    <w:rsid w:val="7A5C1C65"/>
    <w:rsid w:val="7A711094"/>
    <w:rsid w:val="7A743303"/>
    <w:rsid w:val="7AD960FB"/>
    <w:rsid w:val="7B3B120F"/>
    <w:rsid w:val="7BB35E76"/>
    <w:rsid w:val="7BBE26F9"/>
    <w:rsid w:val="7BF81ADB"/>
    <w:rsid w:val="7C413334"/>
    <w:rsid w:val="7C6B0DE2"/>
    <w:rsid w:val="7CBA20FA"/>
    <w:rsid w:val="7CC024D1"/>
    <w:rsid w:val="7CD500E1"/>
    <w:rsid w:val="7CDA1D00"/>
    <w:rsid w:val="7CE25743"/>
    <w:rsid w:val="7CF165B4"/>
    <w:rsid w:val="7CF6093B"/>
    <w:rsid w:val="7D2C5B34"/>
    <w:rsid w:val="7D6C2FF2"/>
    <w:rsid w:val="7D6F2196"/>
    <w:rsid w:val="7D9E1541"/>
    <w:rsid w:val="7DA32DC8"/>
    <w:rsid w:val="7DA84353"/>
    <w:rsid w:val="7DD91588"/>
    <w:rsid w:val="7E072CB5"/>
    <w:rsid w:val="7E823A3E"/>
    <w:rsid w:val="7ED65883"/>
    <w:rsid w:val="7EE85053"/>
    <w:rsid w:val="7EEB5294"/>
    <w:rsid w:val="7EF30CCA"/>
    <w:rsid w:val="7F041D2C"/>
    <w:rsid w:val="7F6C4057"/>
    <w:rsid w:val="7F6D73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link w:val="20"/>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8"/>
    <w:semiHidden/>
    <w:qFormat/>
    <w:uiPriority w:val="99"/>
    <w:pPr>
      <w:tabs>
        <w:tab w:val="center" w:pos="4153"/>
        <w:tab w:val="right" w:pos="8306"/>
      </w:tabs>
      <w:snapToGrid w:val="0"/>
      <w:jc w:val="left"/>
    </w:pPr>
    <w:rPr>
      <w:sz w:val="18"/>
      <w:szCs w:val="18"/>
    </w:rPr>
  </w:style>
  <w:style w:type="paragraph" w:styleId="6">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1"/>
    <w:semiHidden/>
    <w:unhideWhenUsed/>
    <w:qFormat/>
    <w:uiPriority w:val="99"/>
    <w:rPr>
      <w:b/>
      <w:bCs/>
    </w:rPr>
  </w:style>
  <w:style w:type="table" w:styleId="10">
    <w:name w:val="Table Grid"/>
    <w:basedOn w:val="9"/>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styleId="12">
    <w:name w:val="Strong"/>
    <w:qFormat/>
    <w:locked/>
    <w:uiPriority w:val="0"/>
    <w:rPr>
      <w:rFonts w:cs="Times New Roman"/>
      <w:b/>
      <w:bCs/>
    </w:rPr>
  </w:style>
  <w:style w:type="character" w:styleId="13">
    <w:name w:val="page number"/>
    <w:basedOn w:val="11"/>
    <w:qFormat/>
    <w:uiPriority w:val="99"/>
    <w:rPr>
      <w:rFonts w:cs="Times New Roman"/>
    </w:rPr>
  </w:style>
  <w:style w:type="character" w:styleId="14">
    <w:name w:val="Hyperlink"/>
    <w:basedOn w:val="11"/>
    <w:semiHidden/>
    <w:unhideWhenUsed/>
    <w:qFormat/>
    <w:uiPriority w:val="99"/>
    <w:rPr>
      <w:color w:val="0000FF"/>
      <w:u w:val="single"/>
    </w:rPr>
  </w:style>
  <w:style w:type="character" w:styleId="15">
    <w:name w:val="annotation reference"/>
    <w:basedOn w:val="11"/>
    <w:semiHidden/>
    <w:unhideWhenUsed/>
    <w:qFormat/>
    <w:uiPriority w:val="99"/>
    <w:rPr>
      <w:sz w:val="21"/>
      <w:szCs w:val="21"/>
    </w:rPr>
  </w:style>
  <w:style w:type="character" w:customStyle="1" w:styleId="16">
    <w:name w:val="apple-converted-space"/>
    <w:basedOn w:val="11"/>
    <w:qFormat/>
    <w:uiPriority w:val="99"/>
    <w:rPr>
      <w:rFonts w:cs="Times New Roman"/>
    </w:rPr>
  </w:style>
  <w:style w:type="character" w:customStyle="1" w:styleId="17">
    <w:name w:val="页眉 字符"/>
    <w:basedOn w:val="11"/>
    <w:link w:val="6"/>
    <w:semiHidden/>
    <w:qFormat/>
    <w:locked/>
    <w:uiPriority w:val="99"/>
    <w:rPr>
      <w:rFonts w:cs="Times New Roman"/>
      <w:sz w:val="18"/>
      <w:szCs w:val="18"/>
    </w:rPr>
  </w:style>
  <w:style w:type="character" w:customStyle="1" w:styleId="18">
    <w:name w:val="页脚 字符"/>
    <w:basedOn w:val="11"/>
    <w:link w:val="5"/>
    <w:semiHidden/>
    <w:qFormat/>
    <w:locked/>
    <w:uiPriority w:val="99"/>
    <w:rPr>
      <w:rFonts w:cs="Times New Roman"/>
      <w:sz w:val="18"/>
      <w:szCs w:val="18"/>
    </w:rPr>
  </w:style>
  <w:style w:type="character" w:customStyle="1" w:styleId="19">
    <w:name w:val="批注框文本 字符"/>
    <w:basedOn w:val="11"/>
    <w:link w:val="4"/>
    <w:semiHidden/>
    <w:qFormat/>
    <w:uiPriority w:val="99"/>
    <w:rPr>
      <w:kern w:val="2"/>
      <w:sz w:val="18"/>
      <w:szCs w:val="18"/>
    </w:rPr>
  </w:style>
  <w:style w:type="character" w:customStyle="1" w:styleId="20">
    <w:name w:val="批注文字 字符"/>
    <w:basedOn w:val="11"/>
    <w:link w:val="3"/>
    <w:semiHidden/>
    <w:qFormat/>
    <w:uiPriority w:val="99"/>
    <w:rPr>
      <w:kern w:val="2"/>
      <w:sz w:val="21"/>
      <w:szCs w:val="22"/>
    </w:rPr>
  </w:style>
  <w:style w:type="character" w:customStyle="1" w:styleId="21">
    <w:name w:val="批注主题 字符"/>
    <w:basedOn w:val="20"/>
    <w:link w:val="8"/>
    <w:semiHidden/>
    <w:qFormat/>
    <w:uiPriority w:val="99"/>
    <w:rPr>
      <w:b/>
      <w:bCs/>
      <w:kern w:val="2"/>
      <w:sz w:val="21"/>
      <w:szCs w:val="22"/>
    </w:rPr>
  </w:style>
  <w:style w:type="paragraph" w:customStyle="1" w:styleId="22">
    <w:name w:val="修订1"/>
    <w:hidden/>
    <w:semiHidden/>
    <w:qFormat/>
    <w:uiPriority w:val="99"/>
    <w:rPr>
      <w:rFonts w:ascii="Calibri" w:hAnsi="Calibri" w:eastAsia="宋体" w:cs="Times New Roman"/>
      <w:kern w:val="2"/>
      <w:sz w:val="21"/>
      <w:szCs w:val="22"/>
      <w:lang w:val="en-US" w:eastAsia="zh-CN" w:bidi="ar-SA"/>
    </w:rPr>
  </w:style>
  <w:style w:type="paragraph" w:styleId="23">
    <w:name w:val="List Paragraph"/>
    <w:basedOn w:val="1"/>
    <w:qFormat/>
    <w:uiPriority w:val="99"/>
    <w:pPr>
      <w:ind w:left="720"/>
      <w:contextualSpacing/>
    </w:pPr>
  </w:style>
  <w:style w:type="character" w:customStyle="1" w:styleId="24">
    <w:name w:val="font71"/>
    <w:basedOn w:val="11"/>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C4C45-6B76-48DA-AD0A-40A3908F1A48}">
  <ds:schemaRefs/>
</ds:datastoreItem>
</file>

<file path=customXml/itemProps3.xml><?xml version="1.0" encoding="utf-8"?>
<ds:datastoreItem xmlns:ds="http://schemas.openxmlformats.org/officeDocument/2006/customXml" ds:itemID="{F2399121-FF57-4AAA-BF4D-54B9B4BC72A7}">
  <ds:schemaRefs/>
</ds:datastoreItem>
</file>

<file path=customXml/itemProps4.xml><?xml version="1.0" encoding="utf-8"?>
<ds:datastoreItem xmlns:ds="http://schemas.openxmlformats.org/officeDocument/2006/customXml" ds:itemID="{5FFB35F6-7770-46C5-95F9-A0E2EE4E0DD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615</Words>
  <Characters>3509</Characters>
  <Lines>29</Lines>
  <Paragraphs>8</Paragraphs>
  <TotalTime>15</TotalTime>
  <ScaleCrop>false</ScaleCrop>
  <LinksUpToDate>false</LinksUpToDate>
  <CharactersWithSpaces>4116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2019-08-05T05:52:00Z</dcterms:created>
  <dc:creator>Microsoft</dc:creator>
  <cp:lastModifiedBy>Administrator</cp:lastModifiedBy>
  <cp:lastPrinted>2022-08-11T01:06:00Z</cp:lastPrinted>
  <dcterms:modified xsi:type="dcterms:W3CDTF">2022-09-28T03:11:36Z</dcterms:modified>
  <dc:title>南京汉莎航空食品有限公司水果供应商评选项目邀标书</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C11B09CBC7C7487A96C3EE2885B2618E</vt:lpwstr>
  </property>
</Properties>
</file>