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u w:val="single"/>
        </w:rPr>
      </w:pPr>
    </w:p>
    <w:p>
      <w:pPr>
        <w:jc w:val="center"/>
        <w:rPr>
          <w:sz w:val="28"/>
          <w:szCs w:val="28"/>
          <w:u w:val="single"/>
        </w:rPr>
      </w:pPr>
    </w:p>
    <w:p>
      <w:pPr>
        <w:jc w:val="center"/>
        <w:rPr>
          <w:rFonts w:ascii="黑体" w:hAnsi="黑体" w:eastAsia="黑体"/>
          <w:sz w:val="36"/>
          <w:szCs w:val="36"/>
        </w:rPr>
      </w:pPr>
    </w:p>
    <w:p>
      <w:pPr>
        <w:jc w:val="center"/>
        <w:rPr>
          <w:rFonts w:ascii="黑体" w:hAnsi="黑体" w:eastAsia="黑体"/>
          <w:sz w:val="44"/>
          <w:szCs w:val="44"/>
        </w:rPr>
      </w:pPr>
      <w:r>
        <w:rPr>
          <w:rFonts w:hint="eastAsia" w:ascii="黑体" w:hAnsi="黑体" w:eastAsia="黑体"/>
          <w:sz w:val="44"/>
          <w:szCs w:val="44"/>
        </w:rPr>
        <w:t>扬州泰州国际机场</w:t>
      </w:r>
    </w:p>
    <w:p>
      <w:pPr>
        <w:jc w:val="center"/>
        <w:rPr>
          <w:rFonts w:ascii="黑体" w:hAnsi="黑体" w:eastAsia="黑体"/>
          <w:sz w:val="44"/>
          <w:szCs w:val="44"/>
        </w:rPr>
      </w:pPr>
      <w:r>
        <w:rPr>
          <w:rFonts w:hint="eastAsia" w:ascii="黑体" w:hAnsi="黑体" w:eastAsia="黑体"/>
          <w:sz w:val="44"/>
          <w:szCs w:val="44"/>
        </w:rPr>
        <w:t>二期扩建项目招标代理服务采购</w:t>
      </w: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招标文件</w:t>
      </w:r>
    </w:p>
    <w:p>
      <w:pPr>
        <w:autoSpaceDE w:val="0"/>
        <w:autoSpaceDN w:val="0"/>
        <w:adjustRightInd w:val="0"/>
        <w:spacing w:before="4" w:line="100" w:lineRule="exact"/>
        <w:jc w:val="left"/>
        <w:rPr>
          <w:rFonts w:ascii="黑体" w:hAnsi="黑体" w:eastAsia="黑体" w:cs="宋体"/>
          <w:kern w:val="0"/>
          <w:sz w:val="10"/>
          <w:szCs w:val="10"/>
        </w:rPr>
      </w:pPr>
    </w:p>
    <w:p>
      <w:pPr>
        <w:autoSpaceDE w:val="0"/>
        <w:autoSpaceDN w:val="0"/>
        <w:adjustRightInd w:val="0"/>
        <w:spacing w:line="200" w:lineRule="exact"/>
        <w:jc w:val="left"/>
        <w:rPr>
          <w:rFonts w:ascii="黑体" w:hAnsi="黑体" w:eastAsia="黑体" w:cs="宋体"/>
          <w:kern w:val="0"/>
          <w:sz w:val="20"/>
          <w:szCs w:val="20"/>
        </w:rPr>
      </w:pPr>
    </w:p>
    <w:p>
      <w:pPr>
        <w:jc w:val="center"/>
        <w:rPr>
          <w:rFonts w:ascii="黑体" w:hAnsi="黑体" w:eastAsia="黑体"/>
          <w:bCs/>
          <w:sz w:val="32"/>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28"/>
          <w:szCs w:val="28"/>
        </w:rPr>
      </w:pPr>
    </w:p>
    <w:p>
      <w:pPr>
        <w:jc w:val="center"/>
        <w:rPr>
          <w:rFonts w:ascii="黑体" w:hAnsi="黑体" w:eastAsia="黑体"/>
          <w:sz w:val="28"/>
          <w:szCs w:val="28"/>
        </w:rPr>
      </w:pPr>
      <w:r>
        <w:rPr>
          <w:rFonts w:hint="eastAsia" w:ascii="黑体" w:hAnsi="黑体" w:eastAsia="黑体"/>
          <w:sz w:val="28"/>
          <w:szCs w:val="28"/>
        </w:rPr>
        <w:t>招标人：</w:t>
      </w:r>
      <w:r>
        <w:rPr>
          <w:rFonts w:hint="eastAsia" w:ascii="黑体" w:hAnsi="黑体" w:eastAsia="黑体" w:cs="黑体"/>
          <w:sz w:val="28"/>
          <w:szCs w:val="28"/>
        </w:rPr>
        <w:t>扬州泰州国际机场投资建设有限责任公司</w:t>
      </w:r>
    </w:p>
    <w:p>
      <w:pPr>
        <w:tabs>
          <w:tab w:val="left" w:pos="3260"/>
          <w:tab w:val="left" w:pos="4340"/>
          <w:tab w:val="left" w:pos="5540"/>
        </w:tabs>
        <w:autoSpaceDE w:val="0"/>
        <w:autoSpaceDN w:val="0"/>
        <w:adjustRightInd w:val="0"/>
        <w:spacing w:line="300" w:lineRule="exact"/>
        <w:ind w:right="-20" w:firstLine="560"/>
        <w:jc w:val="center"/>
        <w:rPr>
          <w:rFonts w:ascii="黑体" w:hAnsi="黑体" w:eastAsia="黑体"/>
          <w:position w:val="-3"/>
          <w:sz w:val="28"/>
          <w:szCs w:val="28"/>
        </w:rPr>
      </w:pPr>
    </w:p>
    <w:p>
      <w:pPr>
        <w:ind w:firstLine="1320" w:firstLineChars="600"/>
        <w:jc w:val="center"/>
        <w:rPr>
          <w:sz w:val="32"/>
          <w:szCs w:val="32"/>
        </w:rPr>
      </w:pPr>
      <w:r>
        <w:rPr>
          <w:rFonts w:ascii="Calibri" w:hAnsi="Calibri"/>
          <w:sz w:val="22"/>
          <w:szCs w:val="22"/>
          <w:lang w:eastAsia="en-US"/>
        </w:rPr>
        <w:pict>
          <v:rect id="Rectangle 2" o:spid="_x0000_s2051" o:spt="1" style="position:absolute;left:0pt;margin-left:242.15pt;margin-top:76.6pt;height:60pt;width:120.7pt;mso-position-horizontal-relative:page;z-index:-251658240;mso-width-relative:page;mso-height-relative:page;" stroked="f" coordsize="21600,21600" o:allowincell="f">
            <v:path/>
            <v:fill focussize="0,0"/>
            <v:stroke on="f"/>
            <v:imagedata o:title=""/>
            <o:lock v:ext="edit"/>
            <v:textbox>
              <w:txbxContent>
                <w:p/>
              </w:txbxContent>
            </v:textbox>
          </v:rect>
        </w:pict>
      </w:r>
      <w:r>
        <w:rPr>
          <w:rFonts w:hint="eastAsia" w:ascii="黑体" w:hAnsi="黑体" w:eastAsia="黑体" w:cs="黑体"/>
          <w:position w:val="-3"/>
          <w:sz w:val="28"/>
          <w:szCs w:val="28"/>
        </w:rPr>
        <w:t>二〇二〇年九月</w:t>
      </w:r>
    </w:p>
    <w:p/>
    <w:p>
      <w:pPr>
        <w:tabs>
          <w:tab w:val="left" w:pos="3260"/>
          <w:tab w:val="left" w:pos="4340"/>
          <w:tab w:val="left" w:pos="5540"/>
        </w:tabs>
        <w:autoSpaceDE w:val="0"/>
        <w:autoSpaceDN w:val="0"/>
        <w:adjustRightInd w:val="0"/>
        <w:spacing w:line="300" w:lineRule="exact"/>
        <w:ind w:right="-20"/>
        <w:jc w:val="center"/>
        <w:rPr>
          <w:sz w:val="32"/>
          <w:szCs w:val="32"/>
        </w:rPr>
      </w:pPr>
    </w:p>
    <w:p/>
    <w:p>
      <w:p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p>
    <w:p>
      <w:pPr>
        <w:jc w:val="center"/>
      </w:pPr>
      <w:r>
        <w:rPr>
          <w:rFonts w:hint="eastAsia"/>
        </w:rPr>
        <w:t>目</w:t>
      </w:r>
      <w:r>
        <w:tab/>
      </w:r>
      <w:r>
        <w:rPr>
          <w:rFonts w:hint="eastAsia"/>
        </w:rPr>
        <w:t>录</w:t>
      </w:r>
    </w:p>
    <w:p>
      <w:pPr>
        <w:pStyle w:val="30"/>
        <w:tabs>
          <w:tab w:val="right" w:leader="dot" w:pos="8296"/>
        </w:tabs>
        <w:rPr>
          <w:rFonts w:asciiTheme="minorHAnsi" w:hAnsiTheme="minorHAnsi" w:eastAsiaTheme="minorEastAsia" w:cstheme="minorBidi"/>
          <w:szCs w:val="22"/>
        </w:rPr>
      </w:pPr>
      <w:r>
        <w:fldChar w:fldCharType="begin"/>
      </w:r>
      <w:r>
        <w:instrText xml:space="preserve">TOC \o "1-3" \h \z \u</w:instrText>
      </w:r>
      <w:r>
        <w:fldChar w:fldCharType="separate"/>
      </w:r>
      <w:r>
        <w:fldChar w:fldCharType="begin"/>
      </w:r>
      <w:r>
        <w:instrText xml:space="preserve"> HYPERLINK \l "_Toc46325152" </w:instrText>
      </w:r>
      <w:r>
        <w:fldChar w:fldCharType="separate"/>
      </w:r>
      <w:r>
        <w:rPr>
          <w:rStyle w:val="46"/>
          <w:rFonts w:hint="eastAsia"/>
        </w:rPr>
        <w:t>第一章</w:t>
      </w:r>
      <w:r>
        <w:rPr>
          <w:rStyle w:val="46"/>
        </w:rPr>
        <w:t xml:space="preserve"> </w:t>
      </w:r>
      <w:r>
        <w:rPr>
          <w:rStyle w:val="46"/>
          <w:rFonts w:hint="eastAsia"/>
        </w:rPr>
        <w:t>招标公告</w:t>
      </w:r>
      <w:r>
        <w:tab/>
      </w:r>
      <w:r>
        <w:fldChar w:fldCharType="begin"/>
      </w:r>
      <w:r>
        <w:instrText xml:space="preserve"> PAGEREF _Toc46325152 \h </w:instrText>
      </w:r>
      <w:r>
        <w:fldChar w:fldCharType="separate"/>
      </w:r>
      <w:r>
        <w:t>4</w:t>
      </w:r>
      <w:r>
        <w:fldChar w:fldCharType="end"/>
      </w:r>
      <w:r>
        <w:fldChar w:fldCharType="end"/>
      </w:r>
    </w:p>
    <w:p>
      <w:pPr>
        <w:pStyle w:val="30"/>
        <w:tabs>
          <w:tab w:val="right" w:leader="dot" w:pos="8296"/>
        </w:tabs>
        <w:rPr>
          <w:rFonts w:asciiTheme="minorHAnsi" w:hAnsiTheme="minorHAnsi" w:eastAsiaTheme="minorEastAsia" w:cstheme="minorBidi"/>
          <w:szCs w:val="22"/>
        </w:rPr>
      </w:pPr>
      <w:r>
        <w:fldChar w:fldCharType="begin"/>
      </w:r>
      <w:r>
        <w:instrText xml:space="preserve"> HYPERLINK \l "_Toc46325153" </w:instrText>
      </w:r>
      <w:r>
        <w:fldChar w:fldCharType="separate"/>
      </w:r>
      <w:r>
        <w:rPr>
          <w:rStyle w:val="46"/>
          <w:rFonts w:hint="eastAsia"/>
        </w:rPr>
        <w:t>第二章</w:t>
      </w:r>
      <w:r>
        <w:rPr>
          <w:rStyle w:val="46"/>
        </w:rPr>
        <w:t xml:space="preserve"> </w:t>
      </w:r>
      <w:r>
        <w:rPr>
          <w:rStyle w:val="46"/>
          <w:rFonts w:hint="eastAsia"/>
        </w:rPr>
        <w:t>投标人须知</w:t>
      </w:r>
      <w:r>
        <w:tab/>
      </w:r>
      <w:r>
        <w:fldChar w:fldCharType="begin"/>
      </w:r>
      <w:r>
        <w:instrText xml:space="preserve"> PAGEREF _Toc46325153 \h </w:instrText>
      </w:r>
      <w:r>
        <w:fldChar w:fldCharType="separate"/>
      </w:r>
      <w:r>
        <w:t>6</w:t>
      </w:r>
      <w:r>
        <w:fldChar w:fldCharType="end"/>
      </w:r>
      <w:r>
        <w:fldChar w:fldCharType="end"/>
      </w:r>
    </w:p>
    <w:p>
      <w:pPr>
        <w:pStyle w:val="35"/>
        <w:tabs>
          <w:tab w:val="right" w:leader="dot" w:pos="8296"/>
        </w:tabs>
        <w:rPr>
          <w:rFonts w:asciiTheme="minorHAnsi" w:hAnsiTheme="minorHAnsi" w:eastAsiaTheme="minorEastAsia" w:cstheme="minorBidi"/>
          <w:szCs w:val="22"/>
        </w:rPr>
      </w:pPr>
      <w:r>
        <w:fldChar w:fldCharType="begin"/>
      </w:r>
      <w:r>
        <w:instrText xml:space="preserve"> HYPERLINK \l "_Toc46325154" </w:instrText>
      </w:r>
      <w:r>
        <w:fldChar w:fldCharType="separate"/>
      </w:r>
      <w:r>
        <w:rPr>
          <w:rStyle w:val="46"/>
        </w:rPr>
        <w:t xml:space="preserve">1. </w:t>
      </w:r>
      <w:r>
        <w:rPr>
          <w:rStyle w:val="46"/>
          <w:rFonts w:hint="eastAsia"/>
        </w:rPr>
        <w:t>总则</w:t>
      </w:r>
      <w:r>
        <w:tab/>
      </w:r>
      <w:r>
        <w:fldChar w:fldCharType="begin"/>
      </w:r>
      <w:r>
        <w:instrText xml:space="preserve"> PAGEREF _Toc46325154 \h </w:instrText>
      </w:r>
      <w:r>
        <w:fldChar w:fldCharType="separate"/>
      </w:r>
      <w:r>
        <w:t>8</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"_Toc46325155" </w:instrText>
      </w:r>
      <w:r>
        <w:fldChar w:fldCharType="separate"/>
      </w:r>
      <w:r>
        <w:rPr>
          <w:rStyle w:val="46"/>
        </w:rPr>
        <w:t xml:space="preserve">1.1 </w:t>
      </w:r>
      <w:r>
        <w:rPr>
          <w:rStyle w:val="46"/>
          <w:rFonts w:hint="eastAsia"/>
        </w:rPr>
        <w:t>项目概况</w:t>
      </w:r>
      <w:r>
        <w:tab/>
      </w:r>
      <w:r>
        <w:fldChar w:fldCharType="begin"/>
      </w:r>
      <w:r>
        <w:instrText xml:space="preserve"> PAGEREF _Toc46325155 \h </w:instrText>
      </w:r>
      <w:r>
        <w:fldChar w:fldCharType="separate"/>
      </w:r>
      <w:r>
        <w:t>8</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"_Toc46325156" </w:instrText>
      </w:r>
      <w:r>
        <w:fldChar w:fldCharType="separate"/>
      </w:r>
      <w:r>
        <w:rPr>
          <w:rStyle w:val="46"/>
        </w:rPr>
        <w:t xml:space="preserve">1.2 </w:t>
      </w:r>
      <w:r>
        <w:rPr>
          <w:rStyle w:val="46"/>
          <w:rFonts w:hint="eastAsia"/>
        </w:rPr>
        <w:t>资金来源和落实情况</w:t>
      </w:r>
      <w:r>
        <w:tab/>
      </w:r>
      <w:r>
        <w:fldChar w:fldCharType="begin"/>
      </w:r>
      <w:r>
        <w:instrText xml:space="preserve"> PAGEREF _Toc46325156 \h </w:instrText>
      </w:r>
      <w:r>
        <w:fldChar w:fldCharType="separate"/>
      </w:r>
      <w:r>
        <w:t>8</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"_Toc46325157" </w:instrText>
      </w:r>
      <w:r>
        <w:fldChar w:fldCharType="separate"/>
      </w:r>
      <w:r>
        <w:rPr>
          <w:rStyle w:val="46"/>
        </w:rPr>
        <w:t xml:space="preserve">1.3 </w:t>
      </w:r>
      <w:r>
        <w:rPr>
          <w:rStyle w:val="46"/>
          <w:rFonts w:hint="eastAsia"/>
        </w:rPr>
        <w:t>招标范围、服务周期和质量要求</w:t>
      </w:r>
      <w:r>
        <w:tab/>
      </w:r>
      <w:r>
        <w:fldChar w:fldCharType="begin"/>
      </w:r>
      <w:r>
        <w:instrText xml:space="preserve"> PAGEREF _Toc46325157 \h </w:instrText>
      </w:r>
      <w:r>
        <w:fldChar w:fldCharType="separate"/>
      </w:r>
      <w:r>
        <w:t>8</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"_Toc46325158" </w:instrText>
      </w:r>
      <w:r>
        <w:fldChar w:fldCharType="separate"/>
      </w:r>
      <w:r>
        <w:rPr>
          <w:rStyle w:val="46"/>
        </w:rPr>
        <w:t xml:space="preserve">1.4 </w:t>
      </w:r>
      <w:r>
        <w:rPr>
          <w:rStyle w:val="46"/>
          <w:rFonts w:hint="eastAsia"/>
        </w:rPr>
        <w:t>投标人资格要求</w:t>
      </w:r>
      <w:r>
        <w:tab/>
      </w:r>
      <w:r>
        <w:fldChar w:fldCharType="begin"/>
      </w:r>
      <w:r>
        <w:instrText xml:space="preserve"> PAGEREF _Toc46325158 \h </w:instrText>
      </w:r>
      <w:r>
        <w:fldChar w:fldCharType="separate"/>
      </w:r>
      <w:r>
        <w:t>8</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"_Toc46325159" </w:instrText>
      </w:r>
      <w:r>
        <w:fldChar w:fldCharType="separate"/>
      </w:r>
      <w:r>
        <w:rPr>
          <w:rStyle w:val="46"/>
        </w:rPr>
        <w:t xml:space="preserve">1.5 </w:t>
      </w:r>
      <w:r>
        <w:rPr>
          <w:rStyle w:val="46"/>
          <w:rFonts w:hint="eastAsia"/>
        </w:rPr>
        <w:t>费用承担</w:t>
      </w:r>
      <w:r>
        <w:tab/>
      </w:r>
      <w:r>
        <w:fldChar w:fldCharType="begin"/>
      </w:r>
      <w:r>
        <w:instrText xml:space="preserve"> PAGEREF _Toc46325159 \h </w:instrText>
      </w:r>
      <w:r>
        <w:fldChar w:fldCharType="separate"/>
      </w:r>
      <w:r>
        <w:t>8</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"_Toc46325160" </w:instrText>
      </w:r>
      <w:r>
        <w:fldChar w:fldCharType="separate"/>
      </w:r>
      <w:r>
        <w:rPr>
          <w:rStyle w:val="46"/>
        </w:rPr>
        <w:t xml:space="preserve">1.6 </w:t>
      </w:r>
      <w:r>
        <w:rPr>
          <w:rStyle w:val="46"/>
          <w:rFonts w:hint="eastAsia"/>
        </w:rPr>
        <w:t>保密</w:t>
      </w:r>
      <w:r>
        <w:tab/>
      </w:r>
      <w:r>
        <w:fldChar w:fldCharType="begin"/>
      </w:r>
      <w:r>
        <w:instrText xml:space="preserve"> PAGEREF _Toc46325160 \h </w:instrText>
      </w:r>
      <w:r>
        <w:fldChar w:fldCharType="separate"/>
      </w:r>
      <w:r>
        <w:t>8</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"_Toc46325161" </w:instrText>
      </w:r>
      <w:r>
        <w:fldChar w:fldCharType="separate"/>
      </w:r>
      <w:r>
        <w:rPr>
          <w:rStyle w:val="46"/>
        </w:rPr>
        <w:t xml:space="preserve">1.7 </w:t>
      </w:r>
      <w:r>
        <w:rPr>
          <w:rStyle w:val="46"/>
          <w:rFonts w:hint="eastAsia"/>
        </w:rPr>
        <w:t>语言文字</w:t>
      </w:r>
      <w:r>
        <w:tab/>
      </w:r>
      <w:r>
        <w:fldChar w:fldCharType="begin"/>
      </w:r>
      <w:r>
        <w:instrText xml:space="preserve"> PAGEREF _Toc46325161 \h </w:instrText>
      </w:r>
      <w:r>
        <w:fldChar w:fldCharType="separate"/>
      </w:r>
      <w:r>
        <w:t>9</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"_Toc46325162" </w:instrText>
      </w:r>
      <w:r>
        <w:fldChar w:fldCharType="separate"/>
      </w:r>
      <w:r>
        <w:rPr>
          <w:rStyle w:val="46"/>
        </w:rPr>
        <w:t xml:space="preserve">1.8 </w:t>
      </w:r>
      <w:r>
        <w:rPr>
          <w:rStyle w:val="46"/>
          <w:rFonts w:hint="eastAsia"/>
        </w:rPr>
        <w:t>计量单位</w:t>
      </w:r>
      <w:r>
        <w:tab/>
      </w:r>
      <w:r>
        <w:fldChar w:fldCharType="begin"/>
      </w:r>
      <w:r>
        <w:instrText xml:space="preserve"> PAGEREF _Toc46325162 \h </w:instrText>
      </w:r>
      <w:r>
        <w:fldChar w:fldCharType="separate"/>
      </w:r>
      <w:r>
        <w:t>9</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"_Toc46325163" </w:instrText>
      </w:r>
      <w:r>
        <w:fldChar w:fldCharType="separate"/>
      </w:r>
      <w:r>
        <w:rPr>
          <w:rStyle w:val="46"/>
        </w:rPr>
        <w:t xml:space="preserve">1.9 </w:t>
      </w:r>
      <w:r>
        <w:rPr>
          <w:rStyle w:val="46"/>
          <w:rFonts w:hint="eastAsia"/>
        </w:rPr>
        <w:t>踏勘现场</w:t>
      </w:r>
      <w:r>
        <w:tab/>
      </w:r>
      <w:r>
        <w:fldChar w:fldCharType="begin"/>
      </w:r>
      <w:r>
        <w:instrText xml:space="preserve"> PAGEREF _Toc46325163 \h </w:instrText>
      </w:r>
      <w:r>
        <w:fldChar w:fldCharType="separate"/>
      </w:r>
      <w:r>
        <w:t>9</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"_Toc46325164" </w:instrText>
      </w:r>
      <w:r>
        <w:fldChar w:fldCharType="separate"/>
      </w:r>
      <w:r>
        <w:rPr>
          <w:rStyle w:val="46"/>
        </w:rPr>
        <w:t xml:space="preserve">1.10 </w:t>
      </w:r>
      <w:r>
        <w:rPr>
          <w:rStyle w:val="46"/>
          <w:rFonts w:hint="eastAsia"/>
        </w:rPr>
        <w:t>投标预备会</w:t>
      </w:r>
      <w:r>
        <w:tab/>
      </w:r>
      <w:r>
        <w:fldChar w:fldCharType="begin"/>
      </w:r>
      <w:r>
        <w:instrText xml:space="preserve"> PAGEREF _Toc46325164 \h </w:instrText>
      </w:r>
      <w:r>
        <w:fldChar w:fldCharType="separate"/>
      </w:r>
      <w:r>
        <w:t>9</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"_Toc46325165" </w:instrText>
      </w:r>
      <w:r>
        <w:fldChar w:fldCharType="separate"/>
      </w:r>
      <w:r>
        <w:rPr>
          <w:rStyle w:val="46"/>
        </w:rPr>
        <w:t xml:space="preserve">1.11 </w:t>
      </w:r>
      <w:r>
        <w:rPr>
          <w:rStyle w:val="46"/>
          <w:rFonts w:hint="eastAsia"/>
        </w:rPr>
        <w:t>分包</w:t>
      </w:r>
      <w:r>
        <w:tab/>
      </w:r>
      <w:r>
        <w:fldChar w:fldCharType="begin"/>
      </w:r>
      <w:r>
        <w:instrText xml:space="preserve"> PAGEREF _Toc46325165 \h </w:instrText>
      </w:r>
      <w:r>
        <w:fldChar w:fldCharType="separate"/>
      </w:r>
      <w:r>
        <w:t>9</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"_Toc46325166" </w:instrText>
      </w:r>
      <w:r>
        <w:fldChar w:fldCharType="separate"/>
      </w:r>
      <w:r>
        <w:rPr>
          <w:rStyle w:val="46"/>
        </w:rPr>
        <w:t xml:space="preserve">1.12 </w:t>
      </w:r>
      <w:r>
        <w:rPr>
          <w:rStyle w:val="46"/>
          <w:rFonts w:hint="eastAsia"/>
        </w:rPr>
        <w:t>偏离</w:t>
      </w:r>
      <w:r>
        <w:tab/>
      </w:r>
      <w:r>
        <w:fldChar w:fldCharType="begin"/>
      </w:r>
      <w:r>
        <w:instrText xml:space="preserve"> PAGEREF _Toc46325166 \h </w:instrText>
      </w:r>
      <w:r>
        <w:fldChar w:fldCharType="separate"/>
      </w:r>
      <w:r>
        <w:t>9</w:t>
      </w:r>
      <w:r>
        <w:fldChar w:fldCharType="end"/>
      </w:r>
      <w:r>
        <w:fldChar w:fldCharType="end"/>
      </w:r>
    </w:p>
    <w:p>
      <w:pPr>
        <w:pStyle w:val="35"/>
        <w:tabs>
          <w:tab w:val="right" w:leader="dot" w:pos="8296"/>
        </w:tabs>
        <w:rPr>
          <w:rFonts w:asciiTheme="minorHAnsi" w:hAnsiTheme="minorHAnsi" w:eastAsiaTheme="minorEastAsia" w:cstheme="minorBidi"/>
          <w:szCs w:val="22"/>
        </w:rPr>
      </w:pPr>
      <w:r>
        <w:fldChar w:fldCharType="begin"/>
      </w:r>
      <w:r>
        <w:instrText xml:space="preserve"> HYPERLINK \l "_Toc46325167" </w:instrText>
      </w:r>
      <w:r>
        <w:fldChar w:fldCharType="separate"/>
      </w:r>
      <w:r>
        <w:rPr>
          <w:rStyle w:val="46"/>
        </w:rPr>
        <w:t xml:space="preserve">2.  </w:t>
      </w:r>
      <w:r>
        <w:rPr>
          <w:rStyle w:val="46"/>
          <w:rFonts w:hint="eastAsia"/>
        </w:rPr>
        <w:t>招标文件</w:t>
      </w:r>
      <w:r>
        <w:tab/>
      </w:r>
      <w:r>
        <w:fldChar w:fldCharType="begin"/>
      </w:r>
      <w:r>
        <w:instrText xml:space="preserve"> PAGEREF _Toc46325167 \h </w:instrText>
      </w:r>
      <w:r>
        <w:fldChar w:fldCharType="separate"/>
      </w:r>
      <w:r>
        <w:t>9</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"_Toc46325168" </w:instrText>
      </w:r>
      <w:r>
        <w:fldChar w:fldCharType="separate"/>
      </w:r>
      <w:r>
        <w:rPr>
          <w:rStyle w:val="46"/>
        </w:rPr>
        <w:t xml:space="preserve">2.1 </w:t>
      </w:r>
      <w:r>
        <w:rPr>
          <w:rStyle w:val="46"/>
          <w:rFonts w:hint="eastAsia"/>
        </w:rPr>
        <w:t>招标文件的组成</w:t>
      </w:r>
      <w:r>
        <w:tab/>
      </w:r>
      <w:r>
        <w:fldChar w:fldCharType="begin"/>
      </w:r>
      <w:r>
        <w:instrText xml:space="preserve"> PAGEREF _Toc46325168 \h </w:instrText>
      </w:r>
      <w:r>
        <w:fldChar w:fldCharType="separate"/>
      </w:r>
      <w:r>
        <w:t>9</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"_Toc46325169" </w:instrText>
      </w:r>
      <w:r>
        <w:fldChar w:fldCharType="separate"/>
      </w:r>
      <w:r>
        <w:rPr>
          <w:rStyle w:val="46"/>
        </w:rPr>
        <w:t xml:space="preserve">2.2 </w:t>
      </w:r>
      <w:r>
        <w:rPr>
          <w:rStyle w:val="46"/>
          <w:rFonts w:hint="eastAsia"/>
        </w:rPr>
        <w:t>招标文件的澄清</w:t>
      </w:r>
      <w:r>
        <w:tab/>
      </w:r>
      <w:r>
        <w:fldChar w:fldCharType="begin"/>
      </w:r>
      <w:r>
        <w:instrText xml:space="preserve"> PAGEREF _Toc46325169 \h </w:instrText>
      </w:r>
      <w:r>
        <w:fldChar w:fldCharType="separate"/>
      </w:r>
      <w:r>
        <w:t>10</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"_Toc46325170" </w:instrText>
      </w:r>
      <w:r>
        <w:fldChar w:fldCharType="separate"/>
      </w:r>
      <w:r>
        <w:rPr>
          <w:rStyle w:val="46"/>
        </w:rPr>
        <w:t xml:space="preserve">2.3 </w:t>
      </w:r>
      <w:r>
        <w:rPr>
          <w:rStyle w:val="46"/>
          <w:rFonts w:hint="eastAsia"/>
        </w:rPr>
        <w:t>招标文件的修改</w:t>
      </w:r>
      <w:r>
        <w:tab/>
      </w:r>
      <w:r>
        <w:fldChar w:fldCharType="begin"/>
      </w:r>
      <w:r>
        <w:instrText xml:space="preserve"> PAGEREF _Toc46325170 \h </w:instrText>
      </w:r>
      <w:r>
        <w:fldChar w:fldCharType="separate"/>
      </w:r>
      <w:r>
        <w:t>10</w:t>
      </w:r>
      <w:r>
        <w:fldChar w:fldCharType="end"/>
      </w:r>
      <w:r>
        <w:fldChar w:fldCharType="end"/>
      </w:r>
    </w:p>
    <w:p>
      <w:pPr>
        <w:pStyle w:val="35"/>
        <w:tabs>
          <w:tab w:val="right" w:leader="dot" w:pos="8296"/>
        </w:tabs>
        <w:rPr>
          <w:rFonts w:asciiTheme="minorHAnsi" w:hAnsiTheme="minorHAnsi" w:eastAsiaTheme="minorEastAsia" w:cstheme="minorBidi"/>
          <w:szCs w:val="22"/>
        </w:rPr>
      </w:pPr>
      <w:r>
        <w:fldChar w:fldCharType="begin"/>
      </w:r>
      <w:r>
        <w:instrText xml:space="preserve"> HYPERLINK \l "_Toc46325171" </w:instrText>
      </w:r>
      <w:r>
        <w:fldChar w:fldCharType="separate"/>
      </w:r>
      <w:r>
        <w:rPr>
          <w:rStyle w:val="46"/>
        </w:rPr>
        <w:t xml:space="preserve">3.  </w:t>
      </w:r>
      <w:r>
        <w:rPr>
          <w:rStyle w:val="46"/>
          <w:rFonts w:hint="eastAsia"/>
        </w:rPr>
        <w:t>投标文件</w:t>
      </w:r>
      <w:r>
        <w:tab/>
      </w:r>
      <w:r>
        <w:fldChar w:fldCharType="begin"/>
      </w:r>
      <w:r>
        <w:instrText xml:space="preserve"> PAGEREF _Toc46325171 \h </w:instrText>
      </w:r>
      <w:r>
        <w:fldChar w:fldCharType="separate"/>
      </w:r>
      <w:r>
        <w:t>10</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"_Toc46325172" </w:instrText>
      </w:r>
      <w:r>
        <w:fldChar w:fldCharType="separate"/>
      </w:r>
      <w:r>
        <w:rPr>
          <w:rStyle w:val="46"/>
        </w:rPr>
        <w:t xml:space="preserve">3.1 </w:t>
      </w:r>
      <w:r>
        <w:rPr>
          <w:rStyle w:val="46"/>
          <w:rFonts w:hint="eastAsia"/>
        </w:rPr>
        <w:t>投标文件的组成</w:t>
      </w:r>
      <w:r>
        <w:tab/>
      </w:r>
      <w:r>
        <w:fldChar w:fldCharType="begin"/>
      </w:r>
      <w:r>
        <w:instrText xml:space="preserve"> PAGEREF _Toc46325172 \h </w:instrText>
      </w:r>
      <w:r>
        <w:fldChar w:fldCharType="separate"/>
      </w:r>
      <w:r>
        <w:t>10</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"_Toc46325173" </w:instrText>
      </w:r>
      <w:r>
        <w:fldChar w:fldCharType="separate"/>
      </w:r>
      <w:r>
        <w:rPr>
          <w:rStyle w:val="46"/>
        </w:rPr>
        <w:t xml:space="preserve">3.2 </w:t>
      </w:r>
      <w:r>
        <w:rPr>
          <w:rStyle w:val="46"/>
          <w:rFonts w:hint="eastAsia"/>
        </w:rPr>
        <w:t>投标报价</w:t>
      </w:r>
      <w:r>
        <w:tab/>
      </w:r>
      <w:r>
        <w:fldChar w:fldCharType="begin"/>
      </w:r>
      <w:r>
        <w:instrText xml:space="preserve"> PAGEREF _Toc46325173 \h </w:instrText>
      </w:r>
      <w:r>
        <w:fldChar w:fldCharType="separate"/>
      </w:r>
      <w:r>
        <w:t>10</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"_Toc46325174" </w:instrText>
      </w:r>
      <w:r>
        <w:fldChar w:fldCharType="separate"/>
      </w:r>
      <w:r>
        <w:rPr>
          <w:rStyle w:val="46"/>
        </w:rPr>
        <w:t xml:space="preserve">3.3 </w:t>
      </w:r>
      <w:r>
        <w:rPr>
          <w:rStyle w:val="46"/>
          <w:rFonts w:hint="eastAsia"/>
        </w:rPr>
        <w:t>投标有效期</w:t>
      </w:r>
      <w:r>
        <w:tab/>
      </w:r>
      <w:r>
        <w:fldChar w:fldCharType="begin"/>
      </w:r>
      <w:r>
        <w:instrText xml:space="preserve"> PAGEREF _Toc46325174 \h </w:instrText>
      </w:r>
      <w:r>
        <w:fldChar w:fldCharType="separate"/>
      </w:r>
      <w:r>
        <w:t>10</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"_Toc46325175" </w:instrText>
      </w:r>
      <w:r>
        <w:fldChar w:fldCharType="separate"/>
      </w:r>
      <w:r>
        <w:rPr>
          <w:rStyle w:val="46"/>
        </w:rPr>
        <w:t xml:space="preserve">3.4 </w:t>
      </w:r>
      <w:r>
        <w:rPr>
          <w:rStyle w:val="46"/>
          <w:rFonts w:hint="eastAsia"/>
        </w:rPr>
        <w:t>投标保证金</w:t>
      </w:r>
      <w:r>
        <w:tab/>
      </w:r>
      <w:r>
        <w:fldChar w:fldCharType="begin"/>
      </w:r>
      <w:r>
        <w:instrText xml:space="preserve"> PAGEREF _Toc46325175 \h </w:instrText>
      </w:r>
      <w:r>
        <w:fldChar w:fldCharType="separate"/>
      </w:r>
      <w:r>
        <w:t>10</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"_Toc46325176" </w:instrText>
      </w:r>
      <w:r>
        <w:fldChar w:fldCharType="separate"/>
      </w:r>
      <w:r>
        <w:rPr>
          <w:rStyle w:val="46"/>
        </w:rPr>
        <w:t xml:space="preserve">3.5 </w:t>
      </w:r>
      <w:r>
        <w:rPr>
          <w:rStyle w:val="46"/>
          <w:rFonts w:hint="eastAsia"/>
        </w:rPr>
        <w:t>资格审查资料</w:t>
      </w:r>
      <w:r>
        <w:tab/>
      </w:r>
      <w:r>
        <w:fldChar w:fldCharType="begin"/>
      </w:r>
      <w:r>
        <w:instrText xml:space="preserve"> PAGEREF _Toc46325176 \h </w:instrText>
      </w:r>
      <w:r>
        <w:fldChar w:fldCharType="separate"/>
      </w:r>
      <w:r>
        <w:t>10</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"_Toc46325177" </w:instrText>
      </w:r>
      <w:r>
        <w:fldChar w:fldCharType="separate"/>
      </w:r>
      <w:r>
        <w:rPr>
          <w:rStyle w:val="46"/>
        </w:rPr>
        <w:t xml:space="preserve">3.6 </w:t>
      </w:r>
      <w:r>
        <w:rPr>
          <w:rStyle w:val="46"/>
          <w:rFonts w:hint="eastAsia"/>
        </w:rPr>
        <w:t>备选投标方案</w:t>
      </w:r>
      <w:r>
        <w:tab/>
      </w:r>
      <w:r>
        <w:fldChar w:fldCharType="begin"/>
      </w:r>
      <w:r>
        <w:instrText xml:space="preserve"> PAGEREF _Toc46325177 \h </w:instrText>
      </w:r>
      <w:r>
        <w:fldChar w:fldCharType="separate"/>
      </w:r>
      <w:r>
        <w:t>11</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"_Toc46325178" </w:instrText>
      </w:r>
      <w:r>
        <w:fldChar w:fldCharType="separate"/>
      </w:r>
      <w:r>
        <w:rPr>
          <w:rStyle w:val="46"/>
        </w:rPr>
        <w:t xml:space="preserve">3.7 </w:t>
      </w:r>
      <w:r>
        <w:rPr>
          <w:rStyle w:val="46"/>
          <w:rFonts w:hint="eastAsia"/>
        </w:rPr>
        <w:t>投标文件的编制</w:t>
      </w:r>
      <w:r>
        <w:tab/>
      </w:r>
      <w:r>
        <w:fldChar w:fldCharType="begin"/>
      </w:r>
      <w:r>
        <w:instrText xml:space="preserve"> PAGEREF _Toc46325178 \h </w:instrText>
      </w:r>
      <w:r>
        <w:fldChar w:fldCharType="separate"/>
      </w:r>
      <w:r>
        <w:t>11</w:t>
      </w:r>
      <w:r>
        <w:fldChar w:fldCharType="end"/>
      </w:r>
      <w:r>
        <w:fldChar w:fldCharType="end"/>
      </w:r>
    </w:p>
    <w:p>
      <w:pPr>
        <w:pStyle w:val="35"/>
        <w:tabs>
          <w:tab w:val="right" w:leader="dot" w:pos="8296"/>
        </w:tabs>
        <w:rPr>
          <w:rFonts w:asciiTheme="minorHAnsi" w:hAnsiTheme="minorHAnsi" w:eastAsiaTheme="minorEastAsia" w:cstheme="minorBidi"/>
          <w:szCs w:val="22"/>
        </w:rPr>
      </w:pPr>
      <w:r>
        <w:fldChar w:fldCharType="begin"/>
      </w:r>
      <w:r>
        <w:instrText xml:space="preserve"> HYPERLINK \l "_Toc46325179" </w:instrText>
      </w:r>
      <w:r>
        <w:fldChar w:fldCharType="separate"/>
      </w:r>
      <w:r>
        <w:rPr>
          <w:rStyle w:val="46"/>
        </w:rPr>
        <w:t xml:space="preserve">4.  </w:t>
      </w:r>
      <w:r>
        <w:rPr>
          <w:rStyle w:val="46"/>
          <w:rFonts w:hint="eastAsia"/>
        </w:rPr>
        <w:t>投标</w:t>
      </w:r>
      <w:r>
        <w:tab/>
      </w:r>
      <w:r>
        <w:fldChar w:fldCharType="begin"/>
      </w:r>
      <w:r>
        <w:instrText xml:space="preserve"> PAGEREF _Toc46325179 \h </w:instrText>
      </w:r>
      <w:r>
        <w:fldChar w:fldCharType="separate"/>
      </w:r>
      <w:r>
        <w:t>11</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"_Toc46325180" </w:instrText>
      </w:r>
      <w:r>
        <w:fldChar w:fldCharType="separate"/>
      </w:r>
      <w:r>
        <w:rPr>
          <w:rStyle w:val="46"/>
        </w:rPr>
        <w:t xml:space="preserve">4.1 </w:t>
      </w:r>
      <w:r>
        <w:rPr>
          <w:rStyle w:val="46"/>
          <w:rFonts w:hint="eastAsia"/>
        </w:rPr>
        <w:t>投标文件的密封和标记</w:t>
      </w:r>
      <w:r>
        <w:tab/>
      </w:r>
      <w:r>
        <w:fldChar w:fldCharType="begin"/>
      </w:r>
      <w:r>
        <w:instrText xml:space="preserve"> PAGEREF _Toc46325180 \h </w:instrText>
      </w:r>
      <w:r>
        <w:fldChar w:fldCharType="separate"/>
      </w:r>
      <w:r>
        <w:t>11</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"_Toc46325181" </w:instrText>
      </w:r>
      <w:r>
        <w:fldChar w:fldCharType="separate"/>
      </w:r>
      <w:r>
        <w:rPr>
          <w:rStyle w:val="46"/>
        </w:rPr>
        <w:t xml:space="preserve">4.2 </w:t>
      </w:r>
      <w:r>
        <w:rPr>
          <w:rStyle w:val="46"/>
          <w:rFonts w:hint="eastAsia"/>
        </w:rPr>
        <w:t>投标文件的递交</w:t>
      </w:r>
      <w:r>
        <w:tab/>
      </w:r>
      <w:r>
        <w:fldChar w:fldCharType="begin"/>
      </w:r>
      <w:r>
        <w:instrText xml:space="preserve"> PAGEREF _Toc46325181 \h </w:instrText>
      </w:r>
      <w:r>
        <w:fldChar w:fldCharType="separate"/>
      </w:r>
      <w:r>
        <w:t>11</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"_Toc46325182" </w:instrText>
      </w:r>
      <w:r>
        <w:fldChar w:fldCharType="separate"/>
      </w:r>
      <w:r>
        <w:rPr>
          <w:rStyle w:val="46"/>
        </w:rPr>
        <w:t xml:space="preserve">4.3 </w:t>
      </w:r>
      <w:r>
        <w:rPr>
          <w:rStyle w:val="46"/>
          <w:rFonts w:hint="eastAsia"/>
        </w:rPr>
        <w:t>投标文件的修改与撤回</w:t>
      </w:r>
      <w:r>
        <w:tab/>
      </w:r>
      <w:r>
        <w:fldChar w:fldCharType="begin"/>
      </w:r>
      <w:r>
        <w:instrText xml:space="preserve"> PAGEREF _Toc46325182 \h </w:instrText>
      </w:r>
      <w:r>
        <w:fldChar w:fldCharType="separate"/>
      </w:r>
      <w:r>
        <w:t>12</w:t>
      </w:r>
      <w:r>
        <w:fldChar w:fldCharType="end"/>
      </w:r>
      <w:r>
        <w:fldChar w:fldCharType="end"/>
      </w:r>
    </w:p>
    <w:p>
      <w:pPr>
        <w:pStyle w:val="35"/>
        <w:tabs>
          <w:tab w:val="right" w:leader="dot" w:pos="8296"/>
        </w:tabs>
        <w:rPr>
          <w:rFonts w:asciiTheme="minorHAnsi" w:hAnsiTheme="minorHAnsi" w:eastAsiaTheme="minorEastAsia" w:cstheme="minorBidi"/>
          <w:szCs w:val="22"/>
        </w:rPr>
      </w:pPr>
      <w:r>
        <w:fldChar w:fldCharType="begin"/>
      </w:r>
      <w:r>
        <w:instrText xml:space="preserve"> HYPERLINK \l "_Toc46325183" </w:instrText>
      </w:r>
      <w:r>
        <w:fldChar w:fldCharType="separate"/>
      </w:r>
      <w:r>
        <w:rPr>
          <w:rStyle w:val="46"/>
        </w:rPr>
        <w:t xml:space="preserve">5.  </w:t>
      </w:r>
      <w:r>
        <w:rPr>
          <w:rStyle w:val="46"/>
          <w:rFonts w:hint="eastAsia"/>
        </w:rPr>
        <w:t>开标</w:t>
      </w:r>
      <w:r>
        <w:tab/>
      </w:r>
      <w:r>
        <w:fldChar w:fldCharType="begin"/>
      </w:r>
      <w:r>
        <w:instrText xml:space="preserve"> PAGEREF _Toc46325183 \h </w:instrText>
      </w:r>
      <w:r>
        <w:fldChar w:fldCharType="separate"/>
      </w:r>
      <w:r>
        <w:t>12</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"_Toc46325184" </w:instrText>
      </w:r>
      <w:r>
        <w:fldChar w:fldCharType="separate"/>
      </w:r>
      <w:r>
        <w:rPr>
          <w:rStyle w:val="46"/>
        </w:rPr>
        <w:t xml:space="preserve">5.1 </w:t>
      </w:r>
      <w:r>
        <w:rPr>
          <w:rStyle w:val="46"/>
          <w:rFonts w:hint="eastAsia"/>
        </w:rPr>
        <w:t>开标时间和地点</w:t>
      </w:r>
      <w:r>
        <w:tab/>
      </w:r>
      <w:r>
        <w:fldChar w:fldCharType="begin"/>
      </w:r>
      <w:r>
        <w:instrText xml:space="preserve"> PAGEREF _Toc46325184 \h </w:instrText>
      </w:r>
      <w:r>
        <w:fldChar w:fldCharType="separate"/>
      </w:r>
      <w:r>
        <w:t>12</w:t>
      </w:r>
      <w:r>
        <w:fldChar w:fldCharType="end"/>
      </w:r>
      <w:r>
        <w:fldChar w:fldCharType="end"/>
      </w:r>
    </w:p>
    <w:p>
      <w:pPr>
        <w:pStyle w:val="35"/>
        <w:tabs>
          <w:tab w:val="right" w:leader="dot" w:pos="8296"/>
        </w:tabs>
        <w:rPr>
          <w:rFonts w:asciiTheme="minorHAnsi" w:hAnsiTheme="minorHAnsi" w:eastAsiaTheme="minorEastAsia" w:cstheme="minorBidi"/>
          <w:szCs w:val="22"/>
        </w:rPr>
      </w:pPr>
      <w:r>
        <w:fldChar w:fldCharType="begin"/>
      </w:r>
      <w:r>
        <w:instrText xml:space="preserve"> HYPERLINK \l "_Toc46325185" </w:instrText>
      </w:r>
      <w:r>
        <w:fldChar w:fldCharType="separate"/>
      </w:r>
      <w:r>
        <w:rPr>
          <w:rStyle w:val="46"/>
        </w:rPr>
        <w:t xml:space="preserve">6. </w:t>
      </w:r>
      <w:r>
        <w:rPr>
          <w:rStyle w:val="46"/>
          <w:rFonts w:hint="eastAsia"/>
        </w:rPr>
        <w:t>评标</w:t>
      </w:r>
      <w:r>
        <w:tab/>
      </w:r>
      <w:r>
        <w:fldChar w:fldCharType="begin"/>
      </w:r>
      <w:r>
        <w:instrText xml:space="preserve"> PAGEREF _Toc46325185 \h </w:instrText>
      </w:r>
      <w:r>
        <w:fldChar w:fldCharType="separate"/>
      </w:r>
      <w:r>
        <w:t>12</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"_Toc46325186" </w:instrText>
      </w:r>
      <w:r>
        <w:fldChar w:fldCharType="separate"/>
      </w:r>
      <w:r>
        <w:rPr>
          <w:rStyle w:val="46"/>
        </w:rPr>
        <w:t xml:space="preserve">6.1 </w:t>
      </w:r>
      <w:r>
        <w:rPr>
          <w:rStyle w:val="46"/>
          <w:rFonts w:hint="eastAsia"/>
        </w:rPr>
        <w:t>评标委员会</w:t>
      </w:r>
      <w:r>
        <w:tab/>
      </w:r>
      <w:r>
        <w:fldChar w:fldCharType="begin"/>
      </w:r>
      <w:r>
        <w:instrText xml:space="preserve"> PAGEREF _Toc46325186 \h </w:instrText>
      </w:r>
      <w:r>
        <w:fldChar w:fldCharType="separate"/>
      </w:r>
      <w:r>
        <w:t>12</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"_Toc46325187" </w:instrText>
      </w:r>
      <w:r>
        <w:fldChar w:fldCharType="separate"/>
      </w:r>
      <w:r>
        <w:rPr>
          <w:rStyle w:val="46"/>
        </w:rPr>
        <w:t xml:space="preserve">6.2 </w:t>
      </w:r>
      <w:r>
        <w:rPr>
          <w:rStyle w:val="46"/>
          <w:rFonts w:hint="eastAsia"/>
        </w:rPr>
        <w:t>评标原则</w:t>
      </w:r>
      <w:r>
        <w:tab/>
      </w:r>
      <w:r>
        <w:fldChar w:fldCharType="begin"/>
      </w:r>
      <w:r>
        <w:instrText xml:space="preserve"> PAGEREF _Toc46325187 \h </w:instrText>
      </w:r>
      <w:r>
        <w:fldChar w:fldCharType="separate"/>
      </w:r>
      <w:r>
        <w:t>12</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"_Toc46325188" </w:instrText>
      </w:r>
      <w:r>
        <w:fldChar w:fldCharType="separate"/>
      </w:r>
      <w:r>
        <w:rPr>
          <w:rStyle w:val="46"/>
        </w:rPr>
        <w:t xml:space="preserve">6.3 </w:t>
      </w:r>
      <w:r>
        <w:rPr>
          <w:rStyle w:val="46"/>
          <w:rFonts w:hint="eastAsia"/>
        </w:rPr>
        <w:t>评标</w:t>
      </w:r>
      <w:r>
        <w:tab/>
      </w:r>
      <w:r>
        <w:fldChar w:fldCharType="begin"/>
      </w:r>
      <w:r>
        <w:instrText xml:space="preserve"> PAGEREF _Toc46325188 \h </w:instrText>
      </w:r>
      <w:r>
        <w:fldChar w:fldCharType="separate"/>
      </w:r>
      <w:r>
        <w:t>12</w:t>
      </w:r>
      <w:r>
        <w:fldChar w:fldCharType="end"/>
      </w:r>
      <w:r>
        <w:fldChar w:fldCharType="end"/>
      </w:r>
    </w:p>
    <w:p>
      <w:pPr>
        <w:pStyle w:val="35"/>
        <w:tabs>
          <w:tab w:val="right" w:leader="dot" w:pos="8296"/>
        </w:tabs>
        <w:rPr>
          <w:rFonts w:asciiTheme="minorHAnsi" w:hAnsiTheme="minorHAnsi" w:eastAsiaTheme="minorEastAsia" w:cstheme="minorBidi"/>
          <w:szCs w:val="22"/>
        </w:rPr>
      </w:pPr>
      <w:r>
        <w:fldChar w:fldCharType="begin"/>
      </w:r>
      <w:r>
        <w:instrText xml:space="preserve"> HYPERLINK \l "_Toc46325189" </w:instrText>
      </w:r>
      <w:r>
        <w:fldChar w:fldCharType="separate"/>
      </w:r>
      <w:r>
        <w:rPr>
          <w:rStyle w:val="46"/>
        </w:rPr>
        <w:t xml:space="preserve">7. </w:t>
      </w:r>
      <w:r>
        <w:rPr>
          <w:rStyle w:val="46"/>
          <w:rFonts w:hint="eastAsia"/>
        </w:rPr>
        <w:t>合同授予</w:t>
      </w:r>
      <w:r>
        <w:tab/>
      </w:r>
      <w:r>
        <w:fldChar w:fldCharType="begin"/>
      </w:r>
      <w:r>
        <w:instrText xml:space="preserve"> PAGEREF _Toc46325189 \h </w:instrText>
      </w:r>
      <w:r>
        <w:fldChar w:fldCharType="separate"/>
      </w:r>
      <w:r>
        <w:t>12</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"_Toc46325190" </w:instrText>
      </w:r>
      <w:r>
        <w:fldChar w:fldCharType="separate"/>
      </w:r>
      <w:r>
        <w:rPr>
          <w:rStyle w:val="46"/>
        </w:rPr>
        <w:t xml:space="preserve">7.1 </w:t>
      </w:r>
      <w:r>
        <w:rPr>
          <w:rStyle w:val="46"/>
          <w:rFonts w:hint="eastAsia"/>
        </w:rPr>
        <w:t>定标方式</w:t>
      </w:r>
      <w:r>
        <w:tab/>
      </w:r>
      <w:r>
        <w:fldChar w:fldCharType="begin"/>
      </w:r>
      <w:r>
        <w:instrText xml:space="preserve"> PAGEREF _Toc46325190 \h </w:instrText>
      </w:r>
      <w:r>
        <w:fldChar w:fldCharType="separate"/>
      </w:r>
      <w:r>
        <w:t>12</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"_Toc46325191" </w:instrText>
      </w:r>
      <w:r>
        <w:fldChar w:fldCharType="separate"/>
      </w:r>
      <w:r>
        <w:rPr>
          <w:rStyle w:val="46"/>
        </w:rPr>
        <w:t xml:space="preserve">7.2 </w:t>
      </w:r>
      <w:r>
        <w:rPr>
          <w:rStyle w:val="46"/>
          <w:rFonts w:hint="eastAsia"/>
        </w:rPr>
        <w:t>中标公示</w:t>
      </w:r>
      <w:r>
        <w:tab/>
      </w:r>
      <w:r>
        <w:fldChar w:fldCharType="begin"/>
      </w:r>
      <w:r>
        <w:instrText xml:space="preserve"> PAGEREF _Toc46325191 \h </w:instrText>
      </w:r>
      <w:r>
        <w:fldChar w:fldCharType="separate"/>
      </w:r>
      <w:r>
        <w:t>12</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"_Toc46325192" </w:instrText>
      </w:r>
      <w:r>
        <w:fldChar w:fldCharType="separate"/>
      </w:r>
      <w:r>
        <w:rPr>
          <w:rStyle w:val="46"/>
        </w:rPr>
        <w:t xml:space="preserve">7.3 </w:t>
      </w:r>
      <w:r>
        <w:rPr>
          <w:rStyle w:val="46"/>
          <w:rFonts w:hint="eastAsia"/>
        </w:rPr>
        <w:t>中标通知</w:t>
      </w:r>
      <w:r>
        <w:tab/>
      </w:r>
      <w:r>
        <w:fldChar w:fldCharType="begin"/>
      </w:r>
      <w:r>
        <w:instrText xml:space="preserve"> PAGEREF _Toc46325192 \h </w:instrText>
      </w:r>
      <w:r>
        <w:fldChar w:fldCharType="separate"/>
      </w:r>
      <w:r>
        <w:t>12</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"_Toc46325193" </w:instrText>
      </w:r>
      <w:r>
        <w:fldChar w:fldCharType="separate"/>
      </w:r>
      <w:r>
        <w:rPr>
          <w:rStyle w:val="46"/>
        </w:rPr>
        <w:t xml:space="preserve">7.4 </w:t>
      </w:r>
      <w:r>
        <w:rPr>
          <w:rStyle w:val="46"/>
          <w:rFonts w:hint="eastAsia"/>
        </w:rPr>
        <w:t>签订合同</w:t>
      </w:r>
      <w:r>
        <w:tab/>
      </w:r>
      <w:r>
        <w:fldChar w:fldCharType="begin"/>
      </w:r>
      <w:r>
        <w:instrText xml:space="preserve"> PAGEREF _Toc46325193 \h </w:instrText>
      </w:r>
      <w:r>
        <w:fldChar w:fldCharType="separate"/>
      </w:r>
      <w:r>
        <w:t>13</w:t>
      </w:r>
      <w:r>
        <w:fldChar w:fldCharType="end"/>
      </w:r>
      <w:r>
        <w:fldChar w:fldCharType="end"/>
      </w:r>
    </w:p>
    <w:p>
      <w:pPr>
        <w:pStyle w:val="35"/>
        <w:tabs>
          <w:tab w:val="right" w:leader="dot" w:pos="8296"/>
        </w:tabs>
        <w:rPr>
          <w:rFonts w:asciiTheme="minorHAnsi" w:hAnsiTheme="minorHAnsi" w:eastAsiaTheme="minorEastAsia" w:cstheme="minorBidi"/>
          <w:szCs w:val="22"/>
        </w:rPr>
      </w:pPr>
      <w:r>
        <w:fldChar w:fldCharType="begin"/>
      </w:r>
      <w:r>
        <w:instrText xml:space="preserve"> HYPERLINK \l "_Toc46325194" </w:instrText>
      </w:r>
      <w:r>
        <w:fldChar w:fldCharType="separate"/>
      </w:r>
      <w:r>
        <w:rPr>
          <w:rStyle w:val="46"/>
        </w:rPr>
        <w:t xml:space="preserve">8.  </w:t>
      </w:r>
      <w:r>
        <w:rPr>
          <w:rStyle w:val="46"/>
          <w:rFonts w:hint="eastAsia"/>
        </w:rPr>
        <w:t>纪律和监督</w:t>
      </w:r>
      <w:r>
        <w:tab/>
      </w:r>
      <w:r>
        <w:fldChar w:fldCharType="begin"/>
      </w:r>
      <w:r>
        <w:instrText xml:space="preserve"> PAGEREF _Toc46325194 \h </w:instrText>
      </w:r>
      <w:r>
        <w:fldChar w:fldCharType="separate"/>
      </w:r>
      <w:r>
        <w:t>13</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"_Toc46325195" </w:instrText>
      </w:r>
      <w:r>
        <w:fldChar w:fldCharType="separate"/>
      </w:r>
      <w:r>
        <w:rPr>
          <w:rStyle w:val="46"/>
        </w:rPr>
        <w:t xml:space="preserve">8.1 </w:t>
      </w:r>
      <w:r>
        <w:rPr>
          <w:rStyle w:val="46"/>
          <w:rFonts w:hint="eastAsia"/>
        </w:rPr>
        <w:t>对招标人的纪律要求</w:t>
      </w:r>
      <w:r>
        <w:tab/>
      </w:r>
      <w:r>
        <w:fldChar w:fldCharType="begin"/>
      </w:r>
      <w:r>
        <w:instrText xml:space="preserve"> PAGEREF _Toc46325195 \h </w:instrText>
      </w:r>
      <w:r>
        <w:fldChar w:fldCharType="separate"/>
      </w:r>
      <w:r>
        <w:t>13</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"_Toc46325196" </w:instrText>
      </w:r>
      <w:r>
        <w:fldChar w:fldCharType="separate"/>
      </w:r>
      <w:r>
        <w:rPr>
          <w:rStyle w:val="46"/>
        </w:rPr>
        <w:t xml:space="preserve">8.2 </w:t>
      </w:r>
      <w:r>
        <w:rPr>
          <w:rStyle w:val="46"/>
          <w:rFonts w:hint="eastAsia"/>
        </w:rPr>
        <w:t>对投标人的纪律要求</w:t>
      </w:r>
      <w:r>
        <w:tab/>
      </w:r>
      <w:r>
        <w:fldChar w:fldCharType="begin"/>
      </w:r>
      <w:r>
        <w:instrText xml:space="preserve"> PAGEREF _Toc46325196 \h </w:instrText>
      </w:r>
      <w:r>
        <w:fldChar w:fldCharType="separate"/>
      </w:r>
      <w:r>
        <w:t>13</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"_Toc46325197" </w:instrText>
      </w:r>
      <w:r>
        <w:fldChar w:fldCharType="separate"/>
      </w:r>
      <w:r>
        <w:rPr>
          <w:rStyle w:val="46"/>
        </w:rPr>
        <w:t xml:space="preserve">8.3 </w:t>
      </w:r>
      <w:r>
        <w:rPr>
          <w:rStyle w:val="46"/>
          <w:rFonts w:hint="eastAsia"/>
        </w:rPr>
        <w:t>对评标委员会成员的纪律要求</w:t>
      </w:r>
      <w:r>
        <w:tab/>
      </w:r>
      <w:r>
        <w:fldChar w:fldCharType="begin"/>
      </w:r>
      <w:r>
        <w:instrText xml:space="preserve"> PAGEREF _Toc46325197 \h </w:instrText>
      </w:r>
      <w:r>
        <w:fldChar w:fldCharType="separate"/>
      </w:r>
      <w:r>
        <w:t>13</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"_Toc46325198" </w:instrText>
      </w:r>
      <w:r>
        <w:fldChar w:fldCharType="separate"/>
      </w:r>
      <w:r>
        <w:rPr>
          <w:rStyle w:val="46"/>
        </w:rPr>
        <w:t xml:space="preserve">8.4 </w:t>
      </w:r>
      <w:r>
        <w:rPr>
          <w:rStyle w:val="46"/>
          <w:rFonts w:hint="eastAsia"/>
        </w:rPr>
        <w:t>对与评标活动有关的工作人员的纪律要求</w:t>
      </w:r>
      <w:r>
        <w:tab/>
      </w:r>
      <w:r>
        <w:fldChar w:fldCharType="begin"/>
      </w:r>
      <w:r>
        <w:instrText xml:space="preserve"> PAGEREF _Toc46325198 \h </w:instrText>
      </w:r>
      <w:r>
        <w:fldChar w:fldCharType="separate"/>
      </w:r>
      <w:r>
        <w:t>13</w:t>
      </w:r>
      <w:r>
        <w:fldChar w:fldCharType="end"/>
      </w:r>
      <w:r>
        <w:fldChar w:fldCharType="end"/>
      </w:r>
    </w:p>
    <w:p>
      <w:pPr>
        <w:pStyle w:val="30"/>
        <w:tabs>
          <w:tab w:val="right" w:leader="dot" w:pos="8296"/>
        </w:tabs>
        <w:rPr>
          <w:rFonts w:asciiTheme="minorHAnsi" w:hAnsiTheme="minorHAnsi" w:eastAsiaTheme="minorEastAsia" w:cstheme="minorBidi"/>
          <w:szCs w:val="22"/>
        </w:rPr>
      </w:pPr>
      <w:r>
        <w:fldChar w:fldCharType="begin"/>
      </w:r>
      <w:r>
        <w:instrText xml:space="preserve"> HYPERLINK \l "_Toc46325199" </w:instrText>
      </w:r>
      <w:r>
        <w:fldChar w:fldCharType="separate"/>
      </w:r>
      <w:r>
        <w:rPr>
          <w:rStyle w:val="46"/>
          <w:rFonts w:hint="eastAsia"/>
        </w:rPr>
        <w:t>第三章</w:t>
      </w:r>
      <w:r>
        <w:rPr>
          <w:rStyle w:val="46"/>
        </w:rPr>
        <w:t xml:space="preserve"> </w:t>
      </w:r>
      <w:r>
        <w:rPr>
          <w:rStyle w:val="46"/>
          <w:rFonts w:hint="eastAsia"/>
        </w:rPr>
        <w:t>评标办法（综合评估法）</w:t>
      </w:r>
      <w:r>
        <w:tab/>
      </w:r>
      <w:r>
        <w:fldChar w:fldCharType="begin"/>
      </w:r>
      <w:r>
        <w:instrText xml:space="preserve"> PAGEREF _Toc46325199 \h </w:instrText>
      </w:r>
      <w:r>
        <w:fldChar w:fldCharType="separate"/>
      </w:r>
      <w:r>
        <w:t>14</w:t>
      </w:r>
      <w:r>
        <w:fldChar w:fldCharType="end"/>
      </w:r>
      <w:r>
        <w:fldChar w:fldCharType="end"/>
      </w:r>
    </w:p>
    <w:p>
      <w:pPr>
        <w:pStyle w:val="35"/>
        <w:tabs>
          <w:tab w:val="right" w:leader="dot" w:pos="8296"/>
        </w:tabs>
        <w:rPr>
          <w:rFonts w:asciiTheme="minorHAnsi" w:hAnsiTheme="minorHAnsi" w:eastAsiaTheme="minorEastAsia" w:cstheme="minorBidi"/>
          <w:szCs w:val="22"/>
        </w:rPr>
      </w:pPr>
      <w:r>
        <w:fldChar w:fldCharType="begin"/>
      </w:r>
      <w:r>
        <w:instrText xml:space="preserve"> HYPERLINK \l "_Toc46325200" </w:instrText>
      </w:r>
      <w:r>
        <w:fldChar w:fldCharType="separate"/>
      </w:r>
      <w:r>
        <w:rPr>
          <w:rStyle w:val="46"/>
        </w:rPr>
        <w:t xml:space="preserve">1.  </w:t>
      </w:r>
      <w:r>
        <w:rPr>
          <w:rStyle w:val="46"/>
          <w:rFonts w:hint="eastAsia"/>
        </w:rPr>
        <w:t>评标方法</w:t>
      </w:r>
      <w:r>
        <w:tab/>
      </w:r>
      <w:r>
        <w:fldChar w:fldCharType="begin"/>
      </w:r>
      <w:r>
        <w:instrText xml:space="preserve"> PAGEREF _Toc46325200 \h </w:instrText>
      </w:r>
      <w:r>
        <w:fldChar w:fldCharType="separate"/>
      </w:r>
      <w:r>
        <w:t>17</w:t>
      </w:r>
      <w:r>
        <w:fldChar w:fldCharType="end"/>
      </w:r>
      <w:r>
        <w:fldChar w:fldCharType="end"/>
      </w:r>
    </w:p>
    <w:p>
      <w:pPr>
        <w:pStyle w:val="35"/>
        <w:tabs>
          <w:tab w:val="right" w:leader="dot" w:pos="8296"/>
        </w:tabs>
        <w:rPr>
          <w:rFonts w:asciiTheme="minorHAnsi" w:hAnsiTheme="minorHAnsi" w:eastAsiaTheme="minorEastAsia" w:cstheme="minorBidi"/>
          <w:szCs w:val="22"/>
        </w:rPr>
      </w:pPr>
      <w:r>
        <w:fldChar w:fldCharType="begin"/>
      </w:r>
      <w:r>
        <w:instrText xml:space="preserve"> HYPERLINK \l "_Toc46325201" </w:instrText>
      </w:r>
      <w:r>
        <w:fldChar w:fldCharType="separate"/>
      </w:r>
      <w:r>
        <w:rPr>
          <w:rStyle w:val="46"/>
        </w:rPr>
        <w:t xml:space="preserve">2.  </w:t>
      </w:r>
      <w:r>
        <w:rPr>
          <w:rStyle w:val="46"/>
          <w:rFonts w:hint="eastAsia"/>
        </w:rPr>
        <w:t>评审标准</w:t>
      </w:r>
      <w:r>
        <w:tab/>
      </w:r>
      <w:r>
        <w:fldChar w:fldCharType="begin"/>
      </w:r>
      <w:r>
        <w:instrText xml:space="preserve"> PAGEREF _Toc46325201 \h </w:instrText>
      </w:r>
      <w:r>
        <w:fldChar w:fldCharType="separate"/>
      </w:r>
      <w:r>
        <w:t>17</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"_Toc46325202" </w:instrText>
      </w:r>
      <w:r>
        <w:fldChar w:fldCharType="separate"/>
      </w:r>
      <w:r>
        <w:rPr>
          <w:rStyle w:val="46"/>
        </w:rPr>
        <w:t xml:space="preserve">2.1  </w:t>
      </w:r>
      <w:r>
        <w:rPr>
          <w:rStyle w:val="46"/>
          <w:rFonts w:hint="eastAsia"/>
        </w:rPr>
        <w:t>初步评审标准</w:t>
      </w:r>
      <w:r>
        <w:tab/>
      </w:r>
      <w:r>
        <w:fldChar w:fldCharType="begin"/>
      </w:r>
      <w:r>
        <w:instrText xml:space="preserve"> PAGEREF _Toc46325202 \h </w:instrText>
      </w:r>
      <w:r>
        <w:fldChar w:fldCharType="separate"/>
      </w:r>
      <w:r>
        <w:t>17</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"_Toc46325203" </w:instrText>
      </w:r>
      <w:r>
        <w:fldChar w:fldCharType="separate"/>
      </w:r>
      <w:r>
        <w:rPr>
          <w:rStyle w:val="46"/>
        </w:rPr>
        <w:t xml:space="preserve">2.2  </w:t>
      </w:r>
      <w:r>
        <w:rPr>
          <w:rStyle w:val="46"/>
          <w:rFonts w:hint="eastAsia"/>
        </w:rPr>
        <w:t>分值构成与评分标准</w:t>
      </w:r>
      <w:r>
        <w:tab/>
      </w:r>
      <w:r>
        <w:fldChar w:fldCharType="begin"/>
      </w:r>
      <w:r>
        <w:instrText xml:space="preserve"> PAGEREF _Toc46325203 \h </w:instrText>
      </w:r>
      <w:r>
        <w:fldChar w:fldCharType="separate"/>
      </w:r>
      <w:r>
        <w:t>17</w:t>
      </w:r>
      <w:r>
        <w:fldChar w:fldCharType="end"/>
      </w:r>
      <w:r>
        <w:fldChar w:fldCharType="end"/>
      </w:r>
    </w:p>
    <w:p>
      <w:pPr>
        <w:pStyle w:val="35"/>
        <w:tabs>
          <w:tab w:val="right" w:leader="dot" w:pos="8296"/>
        </w:tabs>
        <w:rPr>
          <w:rFonts w:asciiTheme="minorHAnsi" w:hAnsiTheme="minorHAnsi" w:eastAsiaTheme="minorEastAsia" w:cstheme="minorBidi"/>
          <w:szCs w:val="22"/>
        </w:rPr>
      </w:pPr>
      <w:r>
        <w:fldChar w:fldCharType="begin"/>
      </w:r>
      <w:r>
        <w:instrText xml:space="preserve"> HYPERLINK \l "_Toc46325204" </w:instrText>
      </w:r>
      <w:r>
        <w:fldChar w:fldCharType="separate"/>
      </w:r>
      <w:r>
        <w:rPr>
          <w:rStyle w:val="46"/>
        </w:rPr>
        <w:t xml:space="preserve">3.  </w:t>
      </w:r>
      <w:r>
        <w:rPr>
          <w:rStyle w:val="46"/>
          <w:rFonts w:hint="eastAsia"/>
        </w:rPr>
        <w:t>评标程序</w:t>
      </w:r>
      <w:r>
        <w:tab/>
      </w:r>
      <w:r>
        <w:fldChar w:fldCharType="begin"/>
      </w:r>
      <w:r>
        <w:instrText xml:space="preserve"> PAGEREF _Toc46325204 \h </w:instrText>
      </w:r>
      <w:r>
        <w:fldChar w:fldCharType="separate"/>
      </w:r>
      <w:r>
        <w:t>17</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"_Toc46325205" </w:instrText>
      </w:r>
      <w:r>
        <w:fldChar w:fldCharType="separate"/>
      </w:r>
      <w:r>
        <w:rPr>
          <w:rStyle w:val="46"/>
        </w:rPr>
        <w:t xml:space="preserve">3.1  </w:t>
      </w:r>
      <w:r>
        <w:rPr>
          <w:rStyle w:val="46"/>
          <w:rFonts w:hint="eastAsia"/>
        </w:rPr>
        <w:t>初步评审</w:t>
      </w:r>
      <w:r>
        <w:tab/>
      </w:r>
      <w:r>
        <w:fldChar w:fldCharType="begin"/>
      </w:r>
      <w:r>
        <w:instrText xml:space="preserve"> PAGEREF _Toc46325205 \h </w:instrText>
      </w:r>
      <w:r>
        <w:fldChar w:fldCharType="separate"/>
      </w:r>
      <w:r>
        <w:t>17</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"_Toc46325206" </w:instrText>
      </w:r>
      <w:r>
        <w:fldChar w:fldCharType="separate"/>
      </w:r>
      <w:r>
        <w:rPr>
          <w:rStyle w:val="46"/>
        </w:rPr>
        <w:t xml:space="preserve">3.2  </w:t>
      </w:r>
      <w:r>
        <w:rPr>
          <w:rStyle w:val="46"/>
          <w:rFonts w:hint="eastAsia"/>
        </w:rPr>
        <w:t>详细评审</w:t>
      </w:r>
      <w:r>
        <w:tab/>
      </w:r>
      <w:r>
        <w:fldChar w:fldCharType="begin"/>
      </w:r>
      <w:r>
        <w:instrText xml:space="preserve"> PAGEREF _Toc46325206 \h </w:instrText>
      </w:r>
      <w:r>
        <w:fldChar w:fldCharType="separate"/>
      </w:r>
      <w:r>
        <w:t>17</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"_Toc46325207" </w:instrText>
      </w:r>
      <w:r>
        <w:fldChar w:fldCharType="separate"/>
      </w:r>
      <w:r>
        <w:rPr>
          <w:rStyle w:val="46"/>
        </w:rPr>
        <w:t xml:space="preserve">3.3  </w:t>
      </w:r>
      <w:r>
        <w:rPr>
          <w:rStyle w:val="46"/>
          <w:rFonts w:hint="eastAsia"/>
        </w:rPr>
        <w:t>投标文件的澄清和补正</w:t>
      </w:r>
      <w:r>
        <w:tab/>
      </w:r>
      <w:r>
        <w:fldChar w:fldCharType="begin"/>
      </w:r>
      <w:r>
        <w:instrText xml:space="preserve"> PAGEREF _Toc46325207 \h </w:instrText>
      </w:r>
      <w:r>
        <w:fldChar w:fldCharType="separate"/>
      </w:r>
      <w:r>
        <w:t>18</w:t>
      </w:r>
      <w:r>
        <w:fldChar w:fldCharType="end"/>
      </w:r>
      <w:r>
        <w:fldChar w:fldCharType="end"/>
      </w:r>
    </w:p>
    <w:p>
      <w:pPr>
        <w:pStyle w:val="22"/>
        <w:tabs>
          <w:tab w:val="right" w:leader="dot" w:pos="8296"/>
        </w:tabs>
        <w:rPr>
          <w:rFonts w:asciiTheme="minorHAnsi" w:hAnsiTheme="minorHAnsi" w:eastAsiaTheme="minorEastAsia" w:cstheme="minorBidi"/>
          <w:szCs w:val="22"/>
        </w:rPr>
      </w:pPr>
      <w:r>
        <w:fldChar w:fldCharType="begin"/>
      </w:r>
      <w:r>
        <w:instrText xml:space="preserve"> HYPERLINK \l "_Toc46325208" </w:instrText>
      </w:r>
      <w:r>
        <w:fldChar w:fldCharType="separate"/>
      </w:r>
      <w:r>
        <w:rPr>
          <w:rStyle w:val="46"/>
        </w:rPr>
        <w:t xml:space="preserve">3.4  </w:t>
      </w:r>
      <w:r>
        <w:rPr>
          <w:rStyle w:val="46"/>
          <w:rFonts w:hint="eastAsia"/>
        </w:rPr>
        <w:t>评标结果</w:t>
      </w:r>
      <w:r>
        <w:tab/>
      </w:r>
      <w:r>
        <w:fldChar w:fldCharType="begin"/>
      </w:r>
      <w:r>
        <w:instrText xml:space="preserve"> PAGEREF _Toc46325208 \h </w:instrText>
      </w:r>
      <w:r>
        <w:fldChar w:fldCharType="separate"/>
      </w:r>
      <w:r>
        <w:t>18</w:t>
      </w:r>
      <w:r>
        <w:fldChar w:fldCharType="end"/>
      </w:r>
      <w:r>
        <w:fldChar w:fldCharType="end"/>
      </w:r>
    </w:p>
    <w:p>
      <w:pPr>
        <w:pStyle w:val="30"/>
        <w:tabs>
          <w:tab w:val="right" w:leader="dot" w:pos="8296"/>
        </w:tabs>
        <w:rPr>
          <w:rFonts w:asciiTheme="minorHAnsi" w:hAnsiTheme="minorHAnsi" w:eastAsiaTheme="minorEastAsia" w:cstheme="minorBidi"/>
          <w:szCs w:val="22"/>
        </w:rPr>
      </w:pPr>
      <w:r>
        <w:fldChar w:fldCharType="begin"/>
      </w:r>
      <w:r>
        <w:instrText xml:space="preserve"> HYPERLINK \l "_Toc46325209" </w:instrText>
      </w:r>
      <w:r>
        <w:fldChar w:fldCharType="separate"/>
      </w:r>
      <w:r>
        <w:rPr>
          <w:rStyle w:val="46"/>
          <w:rFonts w:hint="eastAsia"/>
        </w:rPr>
        <w:t>第四章</w:t>
      </w:r>
      <w:r>
        <w:rPr>
          <w:rStyle w:val="46"/>
        </w:rPr>
        <w:t xml:space="preserve"> </w:t>
      </w:r>
      <w:r>
        <w:rPr>
          <w:rStyle w:val="46"/>
          <w:rFonts w:hint="eastAsia"/>
        </w:rPr>
        <w:t>合同条款及格式</w:t>
      </w:r>
      <w:r>
        <w:tab/>
      </w:r>
      <w:r>
        <w:fldChar w:fldCharType="begin"/>
      </w:r>
      <w:r>
        <w:instrText xml:space="preserve"> PAGEREF _Toc46325209 \h </w:instrText>
      </w:r>
      <w:r>
        <w:fldChar w:fldCharType="separate"/>
      </w:r>
      <w:r>
        <w:t>19</w:t>
      </w:r>
      <w:r>
        <w:fldChar w:fldCharType="end"/>
      </w:r>
      <w:r>
        <w:fldChar w:fldCharType="end"/>
      </w:r>
    </w:p>
    <w:p>
      <w:pPr>
        <w:pStyle w:val="30"/>
        <w:tabs>
          <w:tab w:val="right" w:leader="dot" w:pos="8296"/>
        </w:tabs>
        <w:rPr>
          <w:rFonts w:asciiTheme="minorHAnsi" w:hAnsiTheme="minorHAnsi" w:eastAsiaTheme="minorEastAsia" w:cstheme="minorBidi"/>
          <w:szCs w:val="22"/>
        </w:rPr>
      </w:pPr>
      <w:r>
        <w:fldChar w:fldCharType="begin"/>
      </w:r>
      <w:r>
        <w:instrText xml:space="preserve"> HYPERLINK \l "_Toc46325210" </w:instrText>
      </w:r>
      <w:r>
        <w:fldChar w:fldCharType="separate"/>
      </w:r>
      <w:r>
        <w:rPr>
          <w:rStyle w:val="46"/>
          <w:rFonts w:hint="eastAsia"/>
        </w:rPr>
        <w:t>第五章</w:t>
      </w:r>
      <w:r>
        <w:rPr>
          <w:rStyle w:val="46"/>
        </w:rPr>
        <w:t xml:space="preserve"> </w:t>
      </w:r>
      <w:r>
        <w:rPr>
          <w:rStyle w:val="46"/>
          <w:rFonts w:hint="eastAsia"/>
        </w:rPr>
        <w:t>投标文件格式</w:t>
      </w:r>
      <w:r>
        <w:tab/>
      </w:r>
      <w:r>
        <w:fldChar w:fldCharType="begin"/>
      </w:r>
      <w:r>
        <w:instrText xml:space="preserve"> PAGEREF _Toc46325210 \h </w:instrText>
      </w:r>
      <w:r>
        <w:fldChar w:fldCharType="separate"/>
      </w:r>
      <w:r>
        <w:t>22</w:t>
      </w:r>
      <w:r>
        <w:fldChar w:fldCharType="end"/>
      </w:r>
      <w:r>
        <w:fldChar w:fldCharType="end"/>
      </w:r>
    </w:p>
    <w:p>
      <w:pPr>
        <w:pStyle w:val="30"/>
        <w:tabs>
          <w:tab w:val="right" w:leader="dot" w:pos="8296"/>
        </w:tabs>
        <w:rPr>
          <w:rFonts w:asciiTheme="minorHAnsi" w:hAnsiTheme="minorHAnsi" w:eastAsiaTheme="minorEastAsia" w:cstheme="minorBidi"/>
          <w:szCs w:val="22"/>
        </w:rPr>
      </w:pPr>
      <w:r>
        <w:fldChar w:fldCharType="begin"/>
      </w:r>
      <w:r>
        <w:instrText xml:space="preserve"> HYPERLINK \l "_Toc46325211" </w:instrText>
      </w:r>
      <w:r>
        <w:fldChar w:fldCharType="separate"/>
      </w:r>
      <w:r>
        <w:rPr>
          <w:rStyle w:val="46"/>
          <w:rFonts w:hint="eastAsia" w:asciiTheme="minorEastAsia" w:hAnsiTheme="minorEastAsia"/>
          <w:kern w:val="0"/>
        </w:rPr>
        <w:t>一、投标函</w:t>
      </w:r>
      <w:r>
        <w:tab/>
      </w:r>
      <w:r>
        <w:fldChar w:fldCharType="begin"/>
      </w:r>
      <w:r>
        <w:instrText xml:space="preserve"> PAGEREF _Toc46325211 \h </w:instrText>
      </w:r>
      <w:r>
        <w:fldChar w:fldCharType="separate"/>
      </w:r>
      <w:r>
        <w:t>22</w:t>
      </w:r>
      <w:r>
        <w:fldChar w:fldCharType="end"/>
      </w:r>
      <w:r>
        <w:fldChar w:fldCharType="end"/>
      </w:r>
    </w:p>
    <w:p>
      <w:pPr>
        <w:pStyle w:val="30"/>
        <w:tabs>
          <w:tab w:val="right" w:leader="dot" w:pos="8296"/>
        </w:tabs>
        <w:rPr>
          <w:rFonts w:asciiTheme="minorHAnsi" w:hAnsiTheme="minorHAnsi" w:eastAsiaTheme="minorEastAsia" w:cstheme="minorBidi"/>
          <w:szCs w:val="22"/>
        </w:rPr>
      </w:pPr>
      <w:r>
        <w:fldChar w:fldCharType="begin"/>
      </w:r>
      <w:r>
        <w:instrText xml:space="preserve"> HYPERLINK \l "_Toc46325212" </w:instrText>
      </w:r>
      <w:r>
        <w:fldChar w:fldCharType="separate"/>
      </w:r>
      <w:r>
        <w:rPr>
          <w:rStyle w:val="46"/>
          <w:rFonts w:hint="eastAsia" w:asciiTheme="minorEastAsia" w:hAnsiTheme="minorEastAsia"/>
          <w:kern w:val="0"/>
        </w:rPr>
        <w:t>二、授权委托书</w:t>
      </w:r>
      <w:r>
        <w:tab/>
      </w:r>
      <w:r>
        <w:fldChar w:fldCharType="begin"/>
      </w:r>
      <w:r>
        <w:instrText xml:space="preserve"> PAGEREF _Toc46325212 \h </w:instrText>
      </w:r>
      <w:r>
        <w:fldChar w:fldCharType="separate"/>
      </w:r>
      <w:r>
        <w:t>23</w:t>
      </w:r>
      <w:r>
        <w:fldChar w:fldCharType="end"/>
      </w:r>
      <w:r>
        <w:fldChar w:fldCharType="end"/>
      </w:r>
    </w:p>
    <w:p>
      <w:pPr>
        <w:pStyle w:val="30"/>
        <w:tabs>
          <w:tab w:val="right" w:leader="dot" w:pos="8296"/>
        </w:tabs>
        <w:rPr>
          <w:rFonts w:asciiTheme="minorHAnsi" w:hAnsiTheme="minorHAnsi" w:eastAsiaTheme="minorEastAsia" w:cstheme="minorBidi"/>
          <w:szCs w:val="22"/>
        </w:rPr>
      </w:pPr>
      <w:r>
        <w:fldChar w:fldCharType="begin"/>
      </w:r>
      <w:r>
        <w:instrText xml:space="preserve"> HYPERLINK \l "_Toc46325213" </w:instrText>
      </w:r>
      <w:r>
        <w:fldChar w:fldCharType="separate"/>
      </w:r>
      <w:r>
        <w:rPr>
          <w:rStyle w:val="46"/>
          <w:rFonts w:hint="eastAsia" w:asciiTheme="minorEastAsia" w:hAnsiTheme="minorEastAsia"/>
          <w:kern w:val="0"/>
        </w:rPr>
        <w:t>三、企业一般情况表</w:t>
      </w:r>
      <w:r>
        <w:tab/>
      </w:r>
      <w:r>
        <w:fldChar w:fldCharType="begin"/>
      </w:r>
      <w:r>
        <w:instrText xml:space="preserve"> PAGEREF _Toc46325213 \h </w:instrText>
      </w:r>
      <w:r>
        <w:fldChar w:fldCharType="separate"/>
      </w:r>
      <w:r>
        <w:t>24</w:t>
      </w:r>
      <w:r>
        <w:fldChar w:fldCharType="end"/>
      </w:r>
      <w:r>
        <w:fldChar w:fldCharType="end"/>
      </w:r>
    </w:p>
    <w:p>
      <w:pPr>
        <w:pStyle w:val="30"/>
        <w:tabs>
          <w:tab w:val="right" w:leader="dot" w:pos="8296"/>
        </w:tabs>
        <w:rPr>
          <w:rFonts w:asciiTheme="minorHAnsi" w:hAnsiTheme="minorHAnsi" w:eastAsiaTheme="minorEastAsia" w:cstheme="minorBidi"/>
          <w:szCs w:val="22"/>
        </w:rPr>
      </w:pPr>
      <w:r>
        <w:fldChar w:fldCharType="begin"/>
      </w:r>
      <w:r>
        <w:instrText xml:space="preserve"> HYPERLINK \l "_Toc46325214" </w:instrText>
      </w:r>
      <w:r>
        <w:fldChar w:fldCharType="separate"/>
      </w:r>
      <w:r>
        <w:rPr>
          <w:rStyle w:val="46"/>
          <w:rFonts w:hint="eastAsia" w:asciiTheme="minorEastAsia" w:hAnsiTheme="minorEastAsia"/>
          <w:kern w:val="0"/>
        </w:rPr>
        <w:t>四、承诺函（格式自拟）</w:t>
      </w:r>
      <w:r>
        <w:tab/>
      </w:r>
      <w:r>
        <w:fldChar w:fldCharType="begin"/>
      </w:r>
      <w:r>
        <w:instrText xml:space="preserve"> PAGEREF _Toc46325214 \h </w:instrText>
      </w:r>
      <w:r>
        <w:fldChar w:fldCharType="separate"/>
      </w:r>
      <w:r>
        <w:t>26</w:t>
      </w:r>
      <w:r>
        <w:fldChar w:fldCharType="end"/>
      </w:r>
      <w:r>
        <w:fldChar w:fldCharType="end"/>
      </w:r>
    </w:p>
    <w:p>
      <w:pPr>
        <w:pStyle w:val="30"/>
        <w:tabs>
          <w:tab w:val="right" w:leader="dot" w:pos="8296"/>
        </w:tabs>
        <w:rPr>
          <w:rFonts w:asciiTheme="minorHAnsi" w:hAnsiTheme="minorHAnsi" w:eastAsiaTheme="minorEastAsia" w:cstheme="minorBidi"/>
          <w:szCs w:val="22"/>
        </w:rPr>
      </w:pPr>
      <w:r>
        <w:fldChar w:fldCharType="begin"/>
      </w:r>
      <w:r>
        <w:instrText xml:space="preserve"> HYPERLINK \l "_Toc46325215" </w:instrText>
      </w:r>
      <w:r>
        <w:fldChar w:fldCharType="separate"/>
      </w:r>
      <w:r>
        <w:rPr>
          <w:rStyle w:val="46"/>
          <w:rFonts w:hint="eastAsia" w:asciiTheme="minorEastAsia" w:hAnsiTheme="minorEastAsia"/>
          <w:kern w:val="0"/>
        </w:rPr>
        <w:t>五、招标代理服务实施方案</w:t>
      </w:r>
      <w:r>
        <w:tab/>
      </w:r>
      <w:r>
        <w:fldChar w:fldCharType="begin"/>
      </w:r>
      <w:r>
        <w:instrText xml:space="preserve"> PAGEREF _Toc46325215 \h </w:instrText>
      </w:r>
      <w:r>
        <w:fldChar w:fldCharType="separate"/>
      </w:r>
      <w:r>
        <w:t>26</w:t>
      </w:r>
      <w:r>
        <w:fldChar w:fldCharType="end"/>
      </w:r>
      <w:r>
        <w:fldChar w:fldCharType="end"/>
      </w:r>
    </w:p>
    <w:p>
      <w:pPr>
        <w:sectPr>
          <w:pgSz w:w="11906" w:h="16838"/>
          <w:pgMar w:top="1440" w:right="1800" w:bottom="1440" w:left="1800" w:header="851" w:footer="992" w:gutter="0"/>
          <w:cols w:space="720" w:num="1"/>
          <w:docGrid w:type="lines" w:linePitch="312" w:charSpace="0"/>
        </w:sectPr>
      </w:pPr>
      <w:r>
        <w:fldChar w:fldCharType="end"/>
      </w:r>
      <w:r>
        <w:t xml:space="preserve"> </w:t>
      </w:r>
    </w:p>
    <w:p>
      <w:pPr>
        <w:pStyle w:val="104"/>
        <w:outlineLvl w:val="0"/>
      </w:pPr>
      <w:bookmarkStart w:id="0" w:name="_Toc46325152"/>
      <w:r>
        <w:rPr>
          <w:rFonts w:hint="eastAsia"/>
        </w:rPr>
        <w:t>第一章</w:t>
      </w:r>
      <w:r>
        <w:t xml:space="preserve"> </w:t>
      </w:r>
      <w:r>
        <w:rPr>
          <w:rFonts w:hint="eastAsia"/>
        </w:rPr>
        <w:t>招标公告</w:t>
      </w:r>
      <w:bookmarkEnd w:id="0"/>
    </w:p>
    <w:p>
      <w:pPr>
        <w:spacing w:line="360" w:lineRule="auto"/>
        <w:rPr>
          <w:sz w:val="24"/>
        </w:rPr>
      </w:pPr>
      <w:r>
        <w:rPr>
          <w:sz w:val="24"/>
        </w:rPr>
        <w:t xml:space="preserve">1. </w:t>
      </w:r>
      <w:r>
        <w:rPr>
          <w:rFonts w:hint="eastAsia"/>
          <w:sz w:val="24"/>
        </w:rPr>
        <w:t>招标条件</w:t>
      </w:r>
    </w:p>
    <w:p>
      <w:pPr>
        <w:spacing w:line="360" w:lineRule="auto"/>
        <w:ind w:firstLine="420" w:firstLineChars="200"/>
        <w:rPr>
          <w:szCs w:val="21"/>
        </w:rPr>
      </w:pPr>
      <w:r>
        <w:rPr>
          <w:rFonts w:hint="eastAsia"/>
          <w:szCs w:val="21"/>
        </w:rPr>
        <w:t>根据招标人扬州泰州国际机场投资建设有限责任公司工作进展，现对二期扩建项目招标代理服务采购项目进行公开招标。</w:t>
      </w:r>
    </w:p>
    <w:p>
      <w:pPr>
        <w:spacing w:line="360" w:lineRule="auto"/>
        <w:rPr>
          <w:sz w:val="24"/>
        </w:rPr>
      </w:pPr>
      <w:r>
        <w:rPr>
          <w:sz w:val="24"/>
        </w:rPr>
        <w:t xml:space="preserve">2. </w:t>
      </w:r>
      <w:r>
        <w:rPr>
          <w:rFonts w:hint="eastAsia"/>
          <w:sz w:val="24"/>
        </w:rPr>
        <w:t>项目概况与招标范围</w:t>
      </w:r>
    </w:p>
    <w:p>
      <w:pPr>
        <w:spacing w:line="360" w:lineRule="auto"/>
        <w:ind w:firstLine="420" w:firstLineChars="200"/>
        <w:rPr>
          <w:bCs/>
        </w:rPr>
      </w:pPr>
      <w:r>
        <w:rPr>
          <w:rFonts w:hint="eastAsia"/>
          <w:bCs/>
        </w:rPr>
        <w:t>建设地点：江苏省扬州市</w:t>
      </w:r>
      <w:r>
        <w:rPr>
          <w:rFonts w:hint="eastAsia"/>
          <w:szCs w:val="21"/>
        </w:rPr>
        <w:t>扬州泰州国际机场内</w:t>
      </w:r>
      <w:r>
        <w:rPr>
          <w:rFonts w:hint="eastAsia"/>
          <w:bCs/>
        </w:rPr>
        <w:t>。</w:t>
      </w:r>
    </w:p>
    <w:p>
      <w:pPr>
        <w:spacing w:line="360" w:lineRule="auto"/>
        <w:ind w:firstLine="420" w:firstLineChars="200"/>
        <w:rPr>
          <w:bCs/>
        </w:rPr>
      </w:pPr>
      <w:r>
        <w:rPr>
          <w:rFonts w:hint="eastAsia"/>
          <w:bCs/>
        </w:rPr>
        <w:t>服务周期：签订合同之日起至竣工结算完成并通过有关部门审计之日。</w:t>
      </w:r>
    </w:p>
    <w:p>
      <w:pPr>
        <w:spacing w:line="360" w:lineRule="auto"/>
        <w:ind w:firstLine="420" w:firstLineChars="200"/>
        <w:rPr>
          <w:bCs/>
        </w:rPr>
      </w:pPr>
      <w:r>
        <w:rPr>
          <w:rFonts w:hint="eastAsia"/>
          <w:bCs/>
        </w:rPr>
        <w:t>招标范围：扬州泰州机场二期扩建项目招标代理服务。主要包括：服务、设备材料、施工等</w:t>
      </w:r>
      <w:r>
        <w:rPr>
          <w:bCs/>
        </w:rPr>
        <w:t>。</w:t>
      </w:r>
    </w:p>
    <w:p>
      <w:pPr>
        <w:spacing w:line="360" w:lineRule="auto"/>
        <w:ind w:firstLine="420" w:firstLineChars="200"/>
        <w:rPr>
          <w:bCs/>
        </w:rPr>
      </w:pPr>
      <w:r>
        <w:rPr>
          <w:rFonts w:hint="eastAsia"/>
          <w:bCs/>
        </w:rPr>
        <w:t>标段划分：</w:t>
      </w:r>
      <w:r>
        <w:rPr>
          <w:rFonts w:hint="eastAsia"/>
          <w:bCs/>
          <w:lang w:eastAsia="zh-CN"/>
        </w:rPr>
        <w:t>两</w:t>
      </w:r>
      <w:r>
        <w:rPr>
          <w:rFonts w:hint="eastAsia"/>
          <w:bCs/>
        </w:rPr>
        <w:t>个。</w:t>
      </w:r>
    </w:p>
    <w:p>
      <w:pPr>
        <w:spacing w:line="360" w:lineRule="auto"/>
        <w:ind w:firstLine="420" w:firstLineChars="200"/>
        <w:rPr>
          <w:bCs/>
        </w:rPr>
      </w:pPr>
      <w:r>
        <w:rPr>
          <w:rFonts w:hint="eastAsia"/>
          <w:bCs/>
        </w:rPr>
        <w:t>标段1：非民航专业招标代理</w:t>
      </w:r>
    </w:p>
    <w:p>
      <w:pPr>
        <w:spacing w:line="360" w:lineRule="auto"/>
        <w:ind w:firstLine="420" w:firstLineChars="200"/>
        <w:rPr>
          <w:bCs/>
        </w:rPr>
      </w:pPr>
      <w:r>
        <w:rPr>
          <w:rFonts w:hint="eastAsia"/>
          <w:bCs/>
        </w:rPr>
        <w:t>标段2：民航专业招标代理</w:t>
      </w:r>
    </w:p>
    <w:p>
      <w:pPr>
        <w:spacing w:line="360" w:lineRule="auto"/>
        <w:ind w:firstLine="420" w:firstLineChars="200"/>
        <w:rPr>
          <w:bCs/>
        </w:rPr>
      </w:pPr>
      <w:r>
        <w:rPr>
          <w:rFonts w:hint="eastAsia"/>
          <w:bCs/>
        </w:rPr>
        <w:t>每个投标人只能参与1个标段投标，否则其投标文件均做无效标处理。招标人有权调整部分标段的招标代理单位，两个招标代理单位均应服从。</w:t>
      </w:r>
    </w:p>
    <w:p>
      <w:pPr>
        <w:spacing w:line="360" w:lineRule="auto"/>
        <w:ind w:firstLine="420" w:firstLineChars="200"/>
        <w:rPr>
          <w:szCs w:val="21"/>
        </w:rPr>
      </w:pPr>
      <w:r>
        <w:rPr>
          <w:rFonts w:hint="eastAsia"/>
          <w:szCs w:val="21"/>
        </w:rPr>
        <w:t>本项目采用资格后审方式。</w:t>
      </w:r>
    </w:p>
    <w:p>
      <w:pPr>
        <w:spacing w:line="360" w:lineRule="auto"/>
        <w:rPr>
          <w:sz w:val="24"/>
        </w:rPr>
      </w:pPr>
      <w:r>
        <w:rPr>
          <w:sz w:val="24"/>
        </w:rPr>
        <w:t xml:space="preserve">3. </w:t>
      </w:r>
      <w:r>
        <w:rPr>
          <w:rFonts w:hint="eastAsia"/>
          <w:sz w:val="24"/>
        </w:rPr>
        <w:t>投标人资格、业绩及人员要求</w:t>
      </w:r>
    </w:p>
    <w:p>
      <w:pPr>
        <w:spacing w:line="360" w:lineRule="auto"/>
        <w:ind w:firstLine="420" w:firstLineChars="200"/>
        <w:rPr>
          <w:bCs/>
        </w:rPr>
      </w:pPr>
      <w:r>
        <w:rPr>
          <w:bCs/>
        </w:rPr>
        <w:t>3.1</w:t>
      </w:r>
      <w:r>
        <w:rPr>
          <w:rFonts w:hint="eastAsia"/>
          <w:bCs/>
        </w:rPr>
        <w:t>资质条件：具备独立法人资格，持合法有效的企业法人营业执照。</w:t>
      </w:r>
    </w:p>
    <w:p>
      <w:pPr>
        <w:spacing w:line="360" w:lineRule="auto"/>
        <w:ind w:firstLine="420" w:firstLineChars="200"/>
        <w:rPr>
          <w:bCs/>
        </w:rPr>
      </w:pPr>
      <w:r>
        <w:rPr>
          <w:bCs/>
        </w:rPr>
        <w:t>3.2</w:t>
      </w:r>
      <w:r>
        <w:rPr>
          <w:rFonts w:hint="eastAsia"/>
          <w:bCs/>
        </w:rPr>
        <w:t>财务要求：没有处于被责令停业，财产被接管、全部冻结，破产状态，提供相应内容的承诺书及近</w:t>
      </w:r>
      <w:r>
        <w:rPr>
          <w:bCs/>
        </w:rPr>
        <w:t>2</w:t>
      </w:r>
      <w:r>
        <w:rPr>
          <w:rFonts w:hint="eastAsia"/>
          <w:bCs/>
        </w:rPr>
        <w:t>年财务审计报告（</w:t>
      </w:r>
      <w:r>
        <w:rPr>
          <w:bCs/>
        </w:rPr>
        <w:t>201</w:t>
      </w:r>
      <w:r>
        <w:rPr>
          <w:rFonts w:hint="eastAsia"/>
          <w:bCs/>
        </w:rPr>
        <w:t>8年度、</w:t>
      </w:r>
      <w:r>
        <w:rPr>
          <w:bCs/>
        </w:rPr>
        <w:t>201</w:t>
      </w:r>
      <w:r>
        <w:rPr>
          <w:rFonts w:hint="eastAsia"/>
          <w:bCs/>
        </w:rPr>
        <w:t>9年度）。</w:t>
      </w:r>
    </w:p>
    <w:p>
      <w:pPr>
        <w:spacing w:line="360" w:lineRule="auto"/>
        <w:ind w:firstLine="420" w:firstLineChars="200"/>
        <w:rPr>
          <w:bCs/>
        </w:rPr>
      </w:pPr>
      <w:r>
        <w:rPr>
          <w:bCs/>
        </w:rPr>
        <w:t>3.3</w:t>
      </w:r>
      <w:r>
        <w:rPr>
          <w:rFonts w:hint="eastAsia"/>
          <w:bCs/>
        </w:rPr>
        <w:t>业绩要求： 2019年累计完成50亿元及以上项目的招标代理工作。项目额度应能从政府的官网（如江苏建设工程招标网）上查询，或提供代理合同复印件或其他证明材料。</w:t>
      </w:r>
    </w:p>
    <w:p>
      <w:pPr>
        <w:spacing w:line="360" w:lineRule="auto"/>
        <w:ind w:firstLine="420" w:firstLineChars="200"/>
        <w:rPr>
          <w:bCs/>
        </w:rPr>
      </w:pPr>
      <w:r>
        <w:rPr>
          <w:bCs/>
        </w:rPr>
        <w:t>3.4</w:t>
      </w:r>
      <w:r>
        <w:rPr>
          <w:rFonts w:hint="eastAsia"/>
          <w:bCs/>
        </w:rPr>
        <w:t>信誉要求：近5年（</w:t>
      </w:r>
      <w:r>
        <w:rPr>
          <w:bCs/>
        </w:rPr>
        <w:t>201</w:t>
      </w:r>
      <w:r>
        <w:rPr>
          <w:rFonts w:hint="eastAsia"/>
          <w:bCs/>
        </w:rPr>
        <w:t>5年1月</w:t>
      </w:r>
      <w:r>
        <w:rPr>
          <w:bCs/>
        </w:rPr>
        <w:t>1</w:t>
      </w:r>
      <w:r>
        <w:rPr>
          <w:rFonts w:hint="eastAsia"/>
          <w:bCs/>
        </w:rPr>
        <w:t>日至今）没有被“信用中国”列入失信执行人。提供相应内容的承诺书及“信用中国”截图。</w:t>
      </w:r>
    </w:p>
    <w:p>
      <w:pPr>
        <w:spacing w:line="360" w:lineRule="auto"/>
        <w:ind w:firstLine="420" w:firstLineChars="200"/>
        <w:rPr>
          <w:bCs/>
        </w:rPr>
      </w:pPr>
      <w:r>
        <w:rPr>
          <w:bCs/>
        </w:rPr>
        <w:t>3.5</w:t>
      </w:r>
      <w:r>
        <w:rPr>
          <w:rFonts w:hint="eastAsia"/>
          <w:bCs/>
        </w:rPr>
        <w:t>项目负责人资格要求：具有注册造价工程师资格，高级及以上技术职称，且持有江苏省招标代理从业人员工作牌；提供相关证书复印件。</w:t>
      </w:r>
    </w:p>
    <w:p>
      <w:pPr>
        <w:spacing w:line="360" w:lineRule="auto"/>
        <w:ind w:firstLine="420" w:firstLineChars="200"/>
        <w:rPr>
          <w:bCs/>
        </w:rPr>
      </w:pPr>
      <w:r>
        <w:rPr>
          <w:bCs/>
        </w:rPr>
        <w:t>3.6</w:t>
      </w:r>
      <w:r>
        <w:rPr>
          <w:rFonts w:hint="eastAsia"/>
          <w:bCs/>
        </w:rPr>
        <w:t>其他要求：标段1：中标后派驻现场2名工作人员，提供相应内容的承诺书。标段2：具有机场行业招标代理服务经验，中标后派驻现场2名工作人员，提供相应内容的承诺书。</w:t>
      </w:r>
    </w:p>
    <w:p>
      <w:pPr>
        <w:spacing w:line="360" w:lineRule="auto"/>
        <w:ind w:firstLine="420" w:firstLineChars="200"/>
        <w:rPr>
          <w:bCs/>
        </w:rPr>
      </w:pPr>
      <w:r>
        <w:rPr>
          <w:bCs/>
        </w:rPr>
        <w:t xml:space="preserve">3.7 </w:t>
      </w:r>
      <w:r>
        <w:rPr>
          <w:rFonts w:hint="eastAsia"/>
          <w:bCs/>
        </w:rPr>
        <w:t>本次招标不接受联合体投标。</w:t>
      </w:r>
    </w:p>
    <w:p>
      <w:pPr>
        <w:spacing w:line="360" w:lineRule="auto"/>
        <w:ind w:firstLine="420" w:firstLineChars="200"/>
        <w:rPr>
          <w:bCs/>
        </w:rPr>
      </w:pPr>
      <w:r>
        <w:rPr>
          <w:bCs/>
        </w:rPr>
        <w:t>3.</w:t>
      </w:r>
      <w:r>
        <w:rPr>
          <w:rFonts w:hint="eastAsia"/>
          <w:bCs/>
        </w:rPr>
        <w:t>8</w:t>
      </w:r>
      <w:r>
        <w:rPr>
          <w:rFonts w:hint="eastAsia"/>
          <w:szCs w:val="21"/>
        </w:rPr>
        <w:t>法定代表人为同一人（或者有夫妻、直系血亲关系）的两个及两个以上法人，母公司及其全资子公司、其控股、参股公司，股东或出资人全部或部分为同一人或同一法人的法人以及其他形式有资产关联关系的自然人、法人、非法人组织，不得参加同一标段投标或者未划分标段的同一招标项目投标。</w:t>
      </w:r>
    </w:p>
    <w:p>
      <w:pPr>
        <w:spacing w:line="360" w:lineRule="auto"/>
        <w:rPr>
          <w:sz w:val="24"/>
        </w:rPr>
      </w:pPr>
      <w:r>
        <w:rPr>
          <w:sz w:val="24"/>
        </w:rPr>
        <w:t xml:space="preserve">4. </w:t>
      </w:r>
      <w:r>
        <w:rPr>
          <w:rFonts w:hint="eastAsia"/>
          <w:sz w:val="24"/>
        </w:rPr>
        <w:t>招标文件获取</w:t>
      </w:r>
    </w:p>
    <w:p>
      <w:pPr>
        <w:spacing w:line="360" w:lineRule="auto"/>
        <w:ind w:firstLine="420" w:firstLineChars="200"/>
        <w:rPr>
          <w:szCs w:val="21"/>
        </w:rPr>
      </w:pPr>
      <w:r>
        <w:rPr>
          <w:rFonts w:hint="eastAsia"/>
          <w:szCs w:val="21"/>
        </w:rPr>
        <w:t>下载</w:t>
      </w:r>
      <w:r>
        <w:rPr>
          <w:szCs w:val="21"/>
        </w:rPr>
        <w:t>附件</w:t>
      </w:r>
      <w:r>
        <w:rPr>
          <w:rFonts w:hint="eastAsia"/>
          <w:szCs w:val="21"/>
        </w:rPr>
        <w:t>。</w:t>
      </w:r>
    </w:p>
    <w:p>
      <w:pPr>
        <w:ind w:firstLine="420"/>
      </w:pPr>
      <w:r>
        <w:rPr>
          <w:rFonts w:hint="eastAsia"/>
        </w:rPr>
        <w:t>澄清与答疑也将在本网站发布。</w:t>
      </w:r>
    </w:p>
    <w:p>
      <w:pPr>
        <w:spacing w:line="360" w:lineRule="auto"/>
        <w:rPr>
          <w:sz w:val="24"/>
        </w:rPr>
      </w:pPr>
      <w:r>
        <w:rPr>
          <w:rFonts w:hint="eastAsia"/>
          <w:sz w:val="24"/>
        </w:rPr>
        <w:t>5.投标确认函递交时间和递交地点</w:t>
      </w:r>
    </w:p>
    <w:p>
      <w:pPr>
        <w:spacing w:line="360" w:lineRule="auto"/>
        <w:ind w:firstLine="420" w:firstLineChars="200"/>
        <w:rPr>
          <w:szCs w:val="21"/>
        </w:rPr>
      </w:pPr>
      <w:r>
        <w:rPr>
          <w:rFonts w:hint="eastAsia"/>
          <w:szCs w:val="21"/>
        </w:rPr>
        <w:t>投标确认函递交时间：2020年</w:t>
      </w:r>
      <w:r>
        <w:rPr>
          <w:rFonts w:hint="eastAsia"/>
          <w:szCs w:val="21"/>
          <w:lang w:val="en-US" w:eastAsia="zh-CN"/>
        </w:rPr>
        <w:t>9</w:t>
      </w:r>
      <w:r>
        <w:rPr>
          <w:rFonts w:hint="eastAsia"/>
          <w:szCs w:val="21"/>
        </w:rPr>
        <w:t>月</w:t>
      </w:r>
      <w:r>
        <w:rPr>
          <w:rFonts w:hint="eastAsia"/>
          <w:szCs w:val="21"/>
          <w:lang w:val="en-US" w:eastAsia="zh-CN"/>
        </w:rPr>
        <w:t>22</w:t>
      </w:r>
      <w:r>
        <w:rPr>
          <w:rFonts w:hint="eastAsia"/>
          <w:szCs w:val="21"/>
        </w:rPr>
        <w:t>日14时</w:t>
      </w:r>
      <w:r>
        <w:rPr>
          <w:rFonts w:hint="eastAsia"/>
          <w:szCs w:val="21"/>
          <w:lang w:eastAsia="zh-CN"/>
        </w:rPr>
        <w:t>起至</w:t>
      </w:r>
      <w:r>
        <w:rPr>
          <w:rFonts w:hint="eastAsia"/>
          <w:szCs w:val="21"/>
        </w:rPr>
        <w:t>2020年</w:t>
      </w:r>
      <w:r>
        <w:rPr>
          <w:rFonts w:hint="eastAsia"/>
          <w:szCs w:val="21"/>
          <w:lang w:val="en-US" w:eastAsia="zh-CN"/>
        </w:rPr>
        <w:t>9</w:t>
      </w:r>
      <w:r>
        <w:rPr>
          <w:rFonts w:hint="eastAsia"/>
          <w:szCs w:val="21"/>
        </w:rPr>
        <w:t>月</w:t>
      </w:r>
      <w:r>
        <w:rPr>
          <w:rFonts w:hint="eastAsia"/>
          <w:szCs w:val="21"/>
          <w:lang w:val="en-US" w:eastAsia="zh-CN"/>
        </w:rPr>
        <w:t>29</w:t>
      </w:r>
      <w:r>
        <w:rPr>
          <w:rFonts w:hint="eastAsia"/>
          <w:szCs w:val="21"/>
        </w:rPr>
        <w:t>日14时</w:t>
      </w:r>
      <w:r>
        <w:rPr>
          <w:rFonts w:hint="eastAsia"/>
          <w:szCs w:val="21"/>
          <w:lang w:eastAsia="zh-CN"/>
        </w:rPr>
        <w:t>止</w:t>
      </w:r>
      <w:r>
        <w:rPr>
          <w:rFonts w:hint="eastAsia"/>
          <w:szCs w:val="21"/>
        </w:rPr>
        <w:t>；须明确参与标段，后期不得调整。</w:t>
      </w:r>
    </w:p>
    <w:p>
      <w:pPr>
        <w:spacing w:line="360" w:lineRule="auto"/>
        <w:ind w:firstLine="420" w:firstLineChars="200"/>
        <w:rPr>
          <w:szCs w:val="21"/>
        </w:rPr>
      </w:pPr>
      <w:r>
        <w:rPr>
          <w:rFonts w:hint="eastAsia"/>
          <w:szCs w:val="21"/>
        </w:rPr>
        <w:t>投标确认函递交地点：扬州泰州国际机场投资建设有限责任公司综合办公楼213室，逾期不予接收。</w:t>
      </w:r>
    </w:p>
    <w:p>
      <w:pPr>
        <w:spacing w:line="360" w:lineRule="auto"/>
        <w:ind w:firstLine="420" w:firstLineChars="200"/>
        <w:rPr>
          <w:szCs w:val="21"/>
        </w:rPr>
      </w:pPr>
      <w:r>
        <w:rPr>
          <w:rFonts w:hint="eastAsia"/>
          <w:szCs w:val="21"/>
        </w:rPr>
        <w:t>投标确认函递交方式：（1）现场递交；（2）扫描件发送至732206981@qq.com邮箱；（3）邮政或顺丰邮寄（以快递签收日期为准,快递风险自行承担）。</w:t>
      </w:r>
    </w:p>
    <w:p>
      <w:pPr>
        <w:spacing w:line="360" w:lineRule="auto"/>
        <w:ind w:firstLine="420" w:firstLineChars="200"/>
        <w:rPr>
          <w:szCs w:val="21"/>
        </w:rPr>
      </w:pPr>
      <w:r>
        <w:rPr>
          <w:rFonts w:hint="eastAsia"/>
          <w:szCs w:val="21"/>
        </w:rPr>
        <w:t>联系人：李先生</w:t>
      </w:r>
    </w:p>
    <w:p>
      <w:pPr>
        <w:spacing w:line="360" w:lineRule="auto"/>
        <w:ind w:firstLine="420" w:firstLineChars="200"/>
        <w:rPr>
          <w:szCs w:val="21"/>
        </w:rPr>
      </w:pPr>
      <w:r>
        <w:rPr>
          <w:rFonts w:hint="eastAsia"/>
          <w:szCs w:val="21"/>
        </w:rPr>
        <w:t>联系电话：0514-86100268</w:t>
      </w:r>
    </w:p>
    <w:p>
      <w:pPr>
        <w:spacing w:line="360" w:lineRule="auto"/>
        <w:ind w:firstLine="420" w:firstLineChars="200"/>
      </w:pPr>
      <w:r>
        <w:rPr>
          <w:rFonts w:hint="eastAsia"/>
          <w:szCs w:val="21"/>
        </w:rPr>
        <w:t>有关本次招标的事项若存在变动或修改，敬请及时关注“扬州泰州国际机场”官方网站(http://www.yztzairport.net/)上发布的信息或更正公告。</w:t>
      </w:r>
    </w:p>
    <w:p>
      <w:pPr>
        <w:spacing w:line="360" w:lineRule="auto"/>
        <w:rPr>
          <w:sz w:val="24"/>
        </w:rPr>
      </w:pPr>
      <w:r>
        <w:rPr>
          <w:rFonts w:hint="eastAsia"/>
          <w:sz w:val="24"/>
        </w:rPr>
        <w:t>6</w:t>
      </w:r>
      <w:r>
        <w:rPr>
          <w:sz w:val="24"/>
        </w:rPr>
        <w:t>.</w:t>
      </w:r>
      <w:r>
        <w:rPr>
          <w:rFonts w:hint="eastAsia"/>
          <w:sz w:val="24"/>
        </w:rPr>
        <w:t xml:space="preserve">  投标文件的递交</w:t>
      </w:r>
    </w:p>
    <w:p>
      <w:pPr>
        <w:spacing w:line="360" w:lineRule="auto"/>
        <w:ind w:firstLine="420" w:firstLineChars="200"/>
        <w:rPr>
          <w:szCs w:val="21"/>
        </w:rPr>
      </w:pPr>
      <w:r>
        <w:rPr>
          <w:rFonts w:hint="eastAsia"/>
          <w:szCs w:val="21"/>
        </w:rPr>
        <w:t>6.1当面递交或顺丰快递方式提交密封投标，逾期送达的或者未送达指定地点的投标文件可能被拒绝。</w:t>
      </w:r>
    </w:p>
    <w:p>
      <w:pPr>
        <w:spacing w:line="360" w:lineRule="auto"/>
        <w:ind w:firstLine="420" w:firstLineChars="200"/>
        <w:rPr>
          <w:szCs w:val="21"/>
        </w:rPr>
      </w:pPr>
      <w:r>
        <w:rPr>
          <w:rFonts w:hint="eastAsia"/>
          <w:szCs w:val="21"/>
        </w:rPr>
        <w:t>6</w:t>
      </w:r>
      <w:r>
        <w:rPr>
          <w:szCs w:val="21"/>
        </w:rPr>
        <w:t>.</w:t>
      </w:r>
      <w:r>
        <w:rPr>
          <w:rFonts w:hint="eastAsia"/>
          <w:szCs w:val="21"/>
        </w:rPr>
        <w:t>2</w:t>
      </w:r>
      <w:r>
        <w:rPr>
          <w:szCs w:val="21"/>
        </w:rPr>
        <w:t xml:space="preserve"> </w:t>
      </w:r>
      <w:r>
        <w:rPr>
          <w:rFonts w:hint="eastAsia"/>
          <w:szCs w:val="21"/>
        </w:rPr>
        <w:t>投标文件递交的截止时间（投标截止时间，下同）为：</w:t>
      </w:r>
      <w:r>
        <w:rPr>
          <w:szCs w:val="21"/>
        </w:rPr>
        <w:t>20</w:t>
      </w:r>
      <w:r>
        <w:rPr>
          <w:rFonts w:hint="eastAsia"/>
          <w:szCs w:val="21"/>
        </w:rPr>
        <w:t>20年</w:t>
      </w:r>
      <w:r>
        <w:rPr>
          <w:rFonts w:hint="eastAsia"/>
          <w:szCs w:val="21"/>
          <w:u w:val="single"/>
          <w:lang w:val="en-US" w:eastAsia="zh-CN"/>
        </w:rPr>
        <w:t>9</w:t>
      </w:r>
      <w:r>
        <w:rPr>
          <w:rFonts w:hint="eastAsia"/>
          <w:szCs w:val="21"/>
        </w:rPr>
        <w:t>月</w:t>
      </w:r>
      <w:r>
        <w:rPr>
          <w:rFonts w:hint="eastAsia"/>
          <w:szCs w:val="21"/>
          <w:u w:val="single"/>
          <w:lang w:val="en-US" w:eastAsia="zh-CN"/>
        </w:rPr>
        <w:t>29</w:t>
      </w:r>
      <w:r>
        <w:rPr>
          <w:rFonts w:hint="eastAsia"/>
          <w:szCs w:val="21"/>
        </w:rPr>
        <w:t>日</w:t>
      </w:r>
      <w:r>
        <w:rPr>
          <w:rFonts w:hint="eastAsia"/>
          <w:szCs w:val="21"/>
          <w:u w:val="single"/>
        </w:rPr>
        <w:t>14：0</w:t>
      </w:r>
      <w:r>
        <w:rPr>
          <w:szCs w:val="21"/>
          <w:u w:val="single"/>
        </w:rPr>
        <w:t>0</w:t>
      </w:r>
      <w:r>
        <w:rPr>
          <w:rFonts w:hint="eastAsia"/>
          <w:szCs w:val="21"/>
          <w:u w:val="single"/>
        </w:rPr>
        <w:t>分</w:t>
      </w:r>
      <w:r>
        <w:rPr>
          <w:rFonts w:hint="eastAsia"/>
          <w:szCs w:val="21"/>
        </w:rPr>
        <w:t>；投标文件递交的地点为</w:t>
      </w:r>
      <w:r>
        <w:rPr>
          <w:rFonts w:hint="eastAsia"/>
          <w:szCs w:val="21"/>
          <w:u w:val="single"/>
        </w:rPr>
        <w:t>扬州泰州国际机场投资建设有限责任公司综合办公楼213室</w:t>
      </w:r>
      <w:r>
        <w:rPr>
          <w:rFonts w:hint="eastAsia"/>
          <w:szCs w:val="21"/>
        </w:rPr>
        <w:t>。</w:t>
      </w:r>
    </w:p>
    <w:p>
      <w:pPr>
        <w:spacing w:line="360" w:lineRule="auto"/>
        <w:ind w:firstLine="420" w:firstLineChars="200"/>
        <w:rPr>
          <w:szCs w:val="21"/>
        </w:rPr>
      </w:pPr>
      <w:r>
        <w:rPr>
          <w:rFonts w:hint="eastAsia"/>
          <w:szCs w:val="21"/>
        </w:rPr>
        <w:t>6</w:t>
      </w:r>
      <w:r>
        <w:rPr>
          <w:szCs w:val="21"/>
        </w:rPr>
        <w:t>.</w:t>
      </w:r>
      <w:r>
        <w:rPr>
          <w:rFonts w:hint="eastAsia"/>
          <w:szCs w:val="21"/>
        </w:rPr>
        <w:t>3</w:t>
      </w:r>
      <w:r>
        <w:rPr>
          <w:szCs w:val="21"/>
        </w:rPr>
        <w:t xml:space="preserve"> </w:t>
      </w:r>
      <w:r>
        <w:rPr>
          <w:rFonts w:hint="eastAsia"/>
          <w:szCs w:val="21"/>
        </w:rPr>
        <w:t>逾期送达的或者未送达指定地点的投标文件，招标人不予受理。</w:t>
      </w:r>
    </w:p>
    <w:p>
      <w:pPr>
        <w:spacing w:line="360" w:lineRule="auto"/>
        <w:rPr>
          <w:sz w:val="24"/>
        </w:rPr>
      </w:pPr>
      <w:r>
        <w:rPr>
          <w:sz w:val="24"/>
        </w:rPr>
        <w:t xml:space="preserve">7.  </w:t>
      </w:r>
      <w:r>
        <w:rPr>
          <w:rFonts w:hint="eastAsia"/>
          <w:sz w:val="24"/>
        </w:rPr>
        <w:t>联系方式</w:t>
      </w:r>
    </w:p>
    <w:p>
      <w:pPr>
        <w:spacing w:line="360" w:lineRule="auto"/>
        <w:ind w:firstLine="420" w:firstLineChars="200"/>
        <w:rPr>
          <w:szCs w:val="21"/>
        </w:rPr>
      </w:pPr>
      <w:r>
        <w:rPr>
          <w:rFonts w:hint="eastAsia"/>
          <w:szCs w:val="21"/>
        </w:rPr>
        <w:t>招标人：扬州泰州国际机场投资建设有限责任公司</w:t>
      </w:r>
    </w:p>
    <w:p>
      <w:pPr>
        <w:spacing w:line="360" w:lineRule="auto"/>
        <w:ind w:firstLine="420" w:firstLineChars="200"/>
        <w:rPr>
          <w:szCs w:val="21"/>
        </w:rPr>
      </w:pPr>
      <w:r>
        <w:rPr>
          <w:rFonts w:hint="eastAsia"/>
          <w:szCs w:val="21"/>
        </w:rPr>
        <w:t>地址：江苏省扬州市江都区丁沟镇扬州泰州国际机场</w:t>
      </w:r>
    </w:p>
    <w:p>
      <w:pPr>
        <w:spacing w:line="360" w:lineRule="auto"/>
        <w:ind w:firstLine="420" w:firstLineChars="200"/>
        <w:rPr>
          <w:szCs w:val="21"/>
        </w:rPr>
      </w:pPr>
      <w:r>
        <w:rPr>
          <w:rFonts w:hint="eastAsia"/>
          <w:szCs w:val="21"/>
        </w:rPr>
        <w:t>联系人：李先生</w:t>
      </w:r>
    </w:p>
    <w:p>
      <w:pPr>
        <w:spacing w:line="360" w:lineRule="auto"/>
        <w:ind w:firstLine="420" w:firstLineChars="200"/>
        <w:rPr>
          <w:szCs w:val="21"/>
        </w:rPr>
      </w:pPr>
      <w:r>
        <w:rPr>
          <w:rFonts w:hint="eastAsia"/>
          <w:szCs w:val="21"/>
        </w:rPr>
        <w:t>联系方式： 0514-86100268</w:t>
      </w:r>
    </w:p>
    <w:p>
      <w:pPr>
        <w:spacing w:line="360" w:lineRule="auto"/>
      </w:pPr>
    </w:p>
    <w:p>
      <w:pPr>
        <w:widowControl/>
        <w:jc w:val="left"/>
        <w:rPr>
          <w:sz w:val="36"/>
          <w:szCs w:val="36"/>
        </w:rPr>
      </w:pPr>
      <w:r>
        <w:br w:type="page"/>
      </w:r>
    </w:p>
    <w:p>
      <w:pPr>
        <w:pStyle w:val="104"/>
        <w:outlineLvl w:val="0"/>
      </w:pPr>
      <w:bookmarkStart w:id="1" w:name="_Toc46325153"/>
      <w:r>
        <w:rPr>
          <w:rFonts w:hint="eastAsia"/>
        </w:rPr>
        <w:t>第二章</w:t>
      </w:r>
      <w:r>
        <w:t xml:space="preserve"> </w:t>
      </w:r>
      <w:r>
        <w:rPr>
          <w:rFonts w:hint="eastAsia"/>
        </w:rPr>
        <w:t>投标人须知</w:t>
      </w:r>
      <w:bookmarkEnd w:id="1"/>
    </w:p>
    <w:p>
      <w:pPr>
        <w:spacing w:line="400" w:lineRule="exact"/>
        <w:ind w:right="482"/>
      </w:pPr>
      <w:bookmarkStart w:id="2" w:name="_Toc286406757"/>
      <w:bookmarkStart w:id="3" w:name="_Toc285707961"/>
      <w:r>
        <w:rPr>
          <w:rFonts w:hint="eastAsia"/>
          <w:sz w:val="24"/>
        </w:rPr>
        <w:t>投标人须知前附表</w:t>
      </w:r>
      <w:bookmarkEnd w:id="2"/>
      <w:bookmarkEnd w:id="3"/>
    </w:p>
    <w:tbl>
      <w:tblPr>
        <w:tblStyle w:val="41"/>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008" w:type="dxa"/>
            <w:vAlign w:val="center"/>
          </w:tcPr>
          <w:p>
            <w:r>
              <w:rPr>
                <w:rFonts w:hint="eastAsia"/>
              </w:rPr>
              <w:t>条款号</w:t>
            </w:r>
          </w:p>
        </w:tc>
        <w:tc>
          <w:tcPr>
            <w:tcW w:w="2700" w:type="dxa"/>
          </w:tcPr>
          <w:p>
            <w:pPr>
              <w:jc w:val="center"/>
            </w:pPr>
            <w:r>
              <w:rPr>
                <w:rFonts w:hint="eastAsia"/>
              </w:rPr>
              <w:t>条款名称</w:t>
            </w:r>
          </w:p>
        </w:tc>
        <w:tc>
          <w:tcPr>
            <w:tcW w:w="5400" w:type="dxa"/>
          </w:tcPr>
          <w:p>
            <w:pPr>
              <w:jc w:val="center"/>
            </w:pPr>
            <w:r>
              <w:rPr>
                <w:rFonts w:hint="eastAsia"/>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008" w:type="dxa"/>
            <w:vAlign w:val="center"/>
          </w:tcPr>
          <w:p>
            <w:r>
              <w:t>1.1.2</w:t>
            </w:r>
          </w:p>
        </w:tc>
        <w:tc>
          <w:tcPr>
            <w:tcW w:w="2700" w:type="dxa"/>
            <w:vAlign w:val="center"/>
          </w:tcPr>
          <w:p>
            <w:r>
              <w:rPr>
                <w:rFonts w:hint="eastAsia"/>
              </w:rPr>
              <w:t>招标人</w:t>
            </w:r>
          </w:p>
        </w:tc>
        <w:tc>
          <w:tcPr>
            <w:tcW w:w="5400" w:type="dxa"/>
          </w:tcPr>
          <w:p>
            <w:pPr>
              <w:spacing w:line="360" w:lineRule="auto"/>
              <w:rPr>
                <w:szCs w:val="21"/>
              </w:rPr>
            </w:pPr>
            <w:r>
              <w:rPr>
                <w:rFonts w:hint="eastAsia"/>
                <w:szCs w:val="21"/>
              </w:rPr>
              <w:t>招标人：扬州泰州国际机场投资建设有限责任公司</w:t>
            </w:r>
          </w:p>
          <w:p>
            <w:pPr>
              <w:spacing w:line="360" w:lineRule="auto"/>
              <w:rPr>
                <w:szCs w:val="21"/>
              </w:rPr>
            </w:pPr>
            <w:r>
              <w:rPr>
                <w:rFonts w:hint="eastAsia"/>
                <w:szCs w:val="21"/>
              </w:rPr>
              <w:t>地址：江苏省扬州市江都区丁沟镇扬州泰州国际机场</w:t>
            </w:r>
          </w:p>
          <w:p>
            <w:pPr>
              <w:spacing w:line="360" w:lineRule="auto"/>
              <w:rPr>
                <w:szCs w:val="21"/>
              </w:rPr>
            </w:pPr>
            <w:r>
              <w:rPr>
                <w:rFonts w:hint="eastAsia"/>
                <w:szCs w:val="21"/>
              </w:rPr>
              <w:t>联系人：李先生</w:t>
            </w:r>
          </w:p>
          <w:p>
            <w:pPr>
              <w:spacing w:line="360" w:lineRule="auto"/>
              <w:rPr>
                <w:szCs w:val="21"/>
              </w:rPr>
            </w:pPr>
            <w:r>
              <w:rPr>
                <w:rFonts w:hint="eastAsia"/>
                <w:szCs w:val="21"/>
              </w:rPr>
              <w:t>联系方式： 0514-86100268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r>
              <w:t>1.1.</w:t>
            </w:r>
            <w:r>
              <w:rPr>
                <w:rFonts w:hint="eastAsia"/>
              </w:rPr>
              <w:t>3</w:t>
            </w:r>
          </w:p>
        </w:tc>
        <w:tc>
          <w:tcPr>
            <w:tcW w:w="2700" w:type="dxa"/>
            <w:vAlign w:val="center"/>
          </w:tcPr>
          <w:p>
            <w:r>
              <w:rPr>
                <w:rFonts w:hint="eastAsia"/>
              </w:rPr>
              <w:t>项目名称</w:t>
            </w:r>
          </w:p>
        </w:tc>
        <w:tc>
          <w:tcPr>
            <w:tcW w:w="5400" w:type="dxa"/>
          </w:tcPr>
          <w:p>
            <w:r>
              <w:rPr>
                <w:rFonts w:hint="eastAsia" w:ascii="宋体" w:hAnsi="宋体"/>
              </w:rPr>
              <w:t>扬州泰州国际机场二期扩建项目招标代理服务采购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r>
              <w:t>1.1.</w:t>
            </w:r>
            <w:r>
              <w:rPr>
                <w:rFonts w:hint="eastAsia"/>
              </w:rPr>
              <w:t>4</w:t>
            </w:r>
          </w:p>
        </w:tc>
        <w:tc>
          <w:tcPr>
            <w:tcW w:w="2700" w:type="dxa"/>
            <w:vAlign w:val="center"/>
          </w:tcPr>
          <w:p>
            <w:r>
              <w:rPr>
                <w:rFonts w:hint="eastAsia"/>
              </w:rPr>
              <w:t>建设地点</w:t>
            </w:r>
          </w:p>
        </w:tc>
        <w:tc>
          <w:tcPr>
            <w:tcW w:w="5400" w:type="dxa"/>
          </w:tcPr>
          <w:p>
            <w:r>
              <w:rPr>
                <w:rFonts w:hint="eastAsia" w:ascii="宋体" w:hAnsi="宋体"/>
              </w:rPr>
              <w:t>扬州泰州国际机场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r>
              <w:t>1.2.1</w:t>
            </w:r>
          </w:p>
        </w:tc>
        <w:tc>
          <w:tcPr>
            <w:tcW w:w="2700" w:type="dxa"/>
            <w:vAlign w:val="center"/>
          </w:tcPr>
          <w:p>
            <w:r>
              <w:rPr>
                <w:rFonts w:hint="eastAsia"/>
              </w:rPr>
              <w:t>资金来源</w:t>
            </w:r>
          </w:p>
        </w:tc>
        <w:tc>
          <w:tcPr>
            <w:tcW w:w="5400" w:type="dxa"/>
          </w:tcPr>
          <w:p>
            <w:pPr>
              <w:rPr>
                <w:rFonts w:asci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r>
              <w:t>1.2.2</w:t>
            </w:r>
          </w:p>
        </w:tc>
        <w:tc>
          <w:tcPr>
            <w:tcW w:w="2700" w:type="dxa"/>
            <w:vAlign w:val="center"/>
          </w:tcPr>
          <w:p>
            <w:r>
              <w:rPr>
                <w:rFonts w:hint="eastAsia"/>
              </w:rPr>
              <w:t>出资比例</w:t>
            </w:r>
          </w:p>
        </w:tc>
        <w:tc>
          <w:tcPr>
            <w:tcW w:w="5400" w:type="dxa"/>
          </w:tcPr>
          <w:p>
            <w:pPr>
              <w:rPr>
                <w:rFonts w:asci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r>
              <w:t>1.2.3</w:t>
            </w:r>
          </w:p>
        </w:tc>
        <w:tc>
          <w:tcPr>
            <w:tcW w:w="2700" w:type="dxa"/>
            <w:vAlign w:val="center"/>
          </w:tcPr>
          <w:p>
            <w:r>
              <w:rPr>
                <w:rFonts w:hint="eastAsia"/>
              </w:rPr>
              <w:t>资金落实情况</w:t>
            </w:r>
          </w:p>
        </w:tc>
        <w:tc>
          <w:tcPr>
            <w:tcW w:w="5400" w:type="dxa"/>
          </w:tcPr>
          <w:p>
            <w:pPr>
              <w:rPr>
                <w:rFonts w:asci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r>
              <w:t>1.3.1</w:t>
            </w:r>
          </w:p>
        </w:tc>
        <w:tc>
          <w:tcPr>
            <w:tcW w:w="2700" w:type="dxa"/>
            <w:vAlign w:val="center"/>
          </w:tcPr>
          <w:p>
            <w:r>
              <w:rPr>
                <w:rFonts w:hint="eastAsia"/>
              </w:rPr>
              <w:t>招标范围</w:t>
            </w:r>
          </w:p>
        </w:tc>
        <w:tc>
          <w:tcPr>
            <w:tcW w:w="5400" w:type="dxa"/>
          </w:tcPr>
          <w:p>
            <w:r>
              <w:rPr>
                <w:rFonts w:hint="eastAsia"/>
                <w:bCs/>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r>
              <w:t>1.3.2</w:t>
            </w:r>
          </w:p>
        </w:tc>
        <w:tc>
          <w:tcPr>
            <w:tcW w:w="2700" w:type="dxa"/>
            <w:vAlign w:val="center"/>
          </w:tcPr>
          <w:p>
            <w:r>
              <w:rPr>
                <w:rFonts w:hint="eastAsia"/>
              </w:rPr>
              <w:t>服务周期</w:t>
            </w:r>
          </w:p>
        </w:tc>
        <w:tc>
          <w:tcPr>
            <w:tcW w:w="5400" w:type="dxa"/>
          </w:tcPr>
          <w:p>
            <w:pPr>
              <w:spacing w:line="360" w:lineRule="exact"/>
            </w:pPr>
            <w:r>
              <w:rPr>
                <w:rFonts w:hint="eastAsia"/>
                <w:bCs/>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r>
              <w:t>1.3.3</w:t>
            </w:r>
          </w:p>
        </w:tc>
        <w:tc>
          <w:tcPr>
            <w:tcW w:w="2700" w:type="dxa"/>
            <w:vAlign w:val="center"/>
          </w:tcPr>
          <w:p>
            <w:r>
              <w:rPr>
                <w:rFonts w:hint="eastAsia"/>
              </w:rPr>
              <w:t>质量要求</w:t>
            </w:r>
          </w:p>
        </w:tc>
        <w:tc>
          <w:tcPr>
            <w:tcW w:w="5400" w:type="dxa"/>
          </w:tcPr>
          <w:p>
            <w:r>
              <w:rPr>
                <w:rFonts w:hint="eastAsia"/>
              </w:rPr>
              <w:t>符合国家、省、市及相关行业要求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008" w:type="dxa"/>
            <w:vAlign w:val="center"/>
          </w:tcPr>
          <w:p>
            <w:r>
              <w:t>1.4.1</w:t>
            </w:r>
          </w:p>
        </w:tc>
        <w:tc>
          <w:tcPr>
            <w:tcW w:w="2700" w:type="dxa"/>
            <w:vAlign w:val="center"/>
          </w:tcPr>
          <w:p>
            <w:r>
              <w:rPr>
                <w:rFonts w:hint="eastAsia"/>
              </w:rPr>
              <w:t>投标人资质条件、能力和信誉</w:t>
            </w:r>
          </w:p>
        </w:tc>
        <w:tc>
          <w:tcPr>
            <w:tcW w:w="5400" w:type="dxa"/>
          </w:tcPr>
          <w:p>
            <w:pPr>
              <w:spacing w:line="360" w:lineRule="exact"/>
              <w:rPr>
                <w:szCs w:val="21"/>
              </w:rPr>
            </w:pPr>
            <w:r>
              <w:rPr>
                <w:szCs w:val="21"/>
              </w:rPr>
              <w:t>1</w:t>
            </w:r>
            <w:r>
              <w:rPr>
                <w:rFonts w:hint="eastAsia"/>
                <w:szCs w:val="21"/>
              </w:rPr>
              <w:t>资质条件：</w:t>
            </w:r>
            <w:r>
              <w:rPr>
                <w:szCs w:val="21"/>
              </w:rPr>
              <w:t xml:space="preserve"> </w:t>
            </w:r>
            <w:r>
              <w:rPr>
                <w:rFonts w:hint="eastAsia"/>
                <w:szCs w:val="21"/>
              </w:rPr>
              <w:t>详见招标公告</w:t>
            </w:r>
          </w:p>
          <w:p>
            <w:pPr>
              <w:spacing w:line="360" w:lineRule="exact"/>
              <w:rPr>
                <w:szCs w:val="21"/>
              </w:rPr>
            </w:pPr>
            <w:r>
              <w:rPr>
                <w:szCs w:val="21"/>
              </w:rPr>
              <w:t>2</w:t>
            </w:r>
            <w:r>
              <w:rPr>
                <w:rFonts w:hint="eastAsia"/>
                <w:szCs w:val="21"/>
              </w:rPr>
              <w:t>财务要求：详见招标公告</w:t>
            </w:r>
          </w:p>
          <w:p>
            <w:pPr>
              <w:spacing w:line="360" w:lineRule="exact"/>
              <w:rPr>
                <w:szCs w:val="21"/>
              </w:rPr>
            </w:pPr>
            <w:r>
              <w:rPr>
                <w:szCs w:val="21"/>
              </w:rPr>
              <w:t xml:space="preserve">3 </w:t>
            </w:r>
            <w:r>
              <w:rPr>
                <w:rFonts w:hint="eastAsia"/>
                <w:szCs w:val="21"/>
              </w:rPr>
              <w:t>业绩要求：详见招标公告</w:t>
            </w:r>
          </w:p>
          <w:p>
            <w:pPr>
              <w:spacing w:line="360" w:lineRule="exact"/>
              <w:rPr>
                <w:szCs w:val="21"/>
              </w:rPr>
            </w:pPr>
            <w:r>
              <w:rPr>
                <w:szCs w:val="21"/>
              </w:rPr>
              <w:t>4</w:t>
            </w:r>
            <w:r>
              <w:rPr>
                <w:rFonts w:hint="eastAsia"/>
                <w:szCs w:val="21"/>
              </w:rPr>
              <w:t>信誉要求：详见招标公告</w:t>
            </w:r>
          </w:p>
          <w:p>
            <w:pPr>
              <w:spacing w:line="360" w:lineRule="exact"/>
              <w:rPr>
                <w:szCs w:val="21"/>
              </w:rPr>
            </w:pPr>
            <w:r>
              <w:rPr>
                <w:szCs w:val="21"/>
              </w:rPr>
              <w:t>5</w:t>
            </w:r>
            <w:r>
              <w:rPr>
                <w:rFonts w:hint="eastAsia"/>
                <w:szCs w:val="21"/>
              </w:rPr>
              <w:t>项目负责人资格要求：详见招标公告</w:t>
            </w:r>
          </w:p>
          <w:p>
            <w:pPr>
              <w:spacing w:line="360" w:lineRule="exact"/>
              <w:rPr>
                <w:szCs w:val="21"/>
              </w:rPr>
            </w:pPr>
            <w:r>
              <w:rPr>
                <w:szCs w:val="21"/>
              </w:rPr>
              <w:t>6</w:t>
            </w:r>
            <w:r>
              <w:rPr>
                <w:rFonts w:hint="eastAsia"/>
                <w:szCs w:val="21"/>
              </w:rPr>
              <w:t>其他要求：详见招标公告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r>
              <w:t>1.4.2</w:t>
            </w:r>
          </w:p>
        </w:tc>
        <w:tc>
          <w:tcPr>
            <w:tcW w:w="2700" w:type="dxa"/>
            <w:vAlign w:val="center"/>
          </w:tcPr>
          <w:p>
            <w:r>
              <w:rPr>
                <w:rFonts w:hint="eastAsia"/>
              </w:rPr>
              <w:t>是否接受联合体投标</w:t>
            </w:r>
          </w:p>
        </w:tc>
        <w:tc>
          <w:tcPr>
            <w:tcW w:w="5400" w:type="dxa"/>
          </w:tcPr>
          <w:p>
            <w:r>
              <w:t>√</w:t>
            </w:r>
            <w:r>
              <w:rPr>
                <w:rFonts w:hint="eastAsi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r>
              <w:t>1.9.1</w:t>
            </w:r>
          </w:p>
        </w:tc>
        <w:tc>
          <w:tcPr>
            <w:tcW w:w="2700" w:type="dxa"/>
            <w:vAlign w:val="center"/>
          </w:tcPr>
          <w:p>
            <w:r>
              <w:rPr>
                <w:rFonts w:hint="eastAsia"/>
              </w:rPr>
              <w:t>踏勘现场</w:t>
            </w:r>
          </w:p>
        </w:tc>
        <w:tc>
          <w:tcPr>
            <w:tcW w:w="5400" w:type="dxa"/>
          </w:tcPr>
          <w:p>
            <w:r>
              <w:t>√</w:t>
            </w:r>
            <w:r>
              <w:rPr>
                <w:rFonts w:hint="eastAsia"/>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r>
              <w:t>1.10.1</w:t>
            </w:r>
          </w:p>
        </w:tc>
        <w:tc>
          <w:tcPr>
            <w:tcW w:w="2700" w:type="dxa"/>
            <w:vAlign w:val="center"/>
          </w:tcPr>
          <w:p>
            <w:r>
              <w:rPr>
                <w:rFonts w:hint="eastAsia"/>
              </w:rPr>
              <w:t>投标预备会</w:t>
            </w:r>
          </w:p>
        </w:tc>
        <w:tc>
          <w:tcPr>
            <w:tcW w:w="5400" w:type="dxa"/>
          </w:tcPr>
          <w:p>
            <w:r>
              <w:t>√</w:t>
            </w:r>
            <w:r>
              <w:rPr>
                <w:rFonts w:hint="eastAsia"/>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r>
              <w:t>1.11</w:t>
            </w:r>
          </w:p>
        </w:tc>
        <w:tc>
          <w:tcPr>
            <w:tcW w:w="2700" w:type="dxa"/>
            <w:vAlign w:val="center"/>
          </w:tcPr>
          <w:p>
            <w:r>
              <w:rPr>
                <w:rFonts w:hint="eastAsia"/>
              </w:rPr>
              <w:t>分包</w:t>
            </w:r>
          </w:p>
        </w:tc>
        <w:tc>
          <w:tcPr>
            <w:tcW w:w="5400" w:type="dxa"/>
          </w:tcPr>
          <w:p>
            <w:r>
              <w:t>√</w:t>
            </w:r>
            <w:r>
              <w:rPr>
                <w:rFonts w:hint="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r>
              <w:t>1.12</w:t>
            </w:r>
          </w:p>
        </w:tc>
        <w:tc>
          <w:tcPr>
            <w:tcW w:w="2700" w:type="dxa"/>
            <w:vAlign w:val="center"/>
          </w:tcPr>
          <w:p>
            <w:r>
              <w:rPr>
                <w:rFonts w:hint="eastAsia"/>
              </w:rPr>
              <w:t>偏离</w:t>
            </w:r>
          </w:p>
        </w:tc>
        <w:tc>
          <w:tcPr>
            <w:tcW w:w="5400" w:type="dxa"/>
          </w:tcPr>
          <w:p>
            <w:r>
              <w:t>√</w:t>
            </w:r>
            <w:r>
              <w:rPr>
                <w:rFonts w:hint="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r>
              <w:t>2.1</w:t>
            </w:r>
          </w:p>
        </w:tc>
        <w:tc>
          <w:tcPr>
            <w:tcW w:w="2700" w:type="dxa"/>
            <w:vAlign w:val="center"/>
          </w:tcPr>
          <w:p>
            <w:r>
              <w:rPr>
                <w:rFonts w:hint="eastAsia"/>
              </w:rPr>
              <w:t>构成招标文件的其他材料</w:t>
            </w:r>
          </w:p>
        </w:tc>
        <w:tc>
          <w:tcPr>
            <w:tcW w:w="5400" w:type="dxa"/>
          </w:tcPr>
          <w:p>
            <w:r>
              <w:rPr>
                <w:rFonts w:hint="eastAsia" w:ascii="宋体" w:hAnsi="宋体"/>
                <w:kern w:val="0"/>
                <w:szCs w:val="21"/>
              </w:rPr>
              <w:t>招标澄清文件等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08" w:type="dxa"/>
            <w:vMerge w:val="restart"/>
            <w:vAlign w:val="center"/>
          </w:tcPr>
          <w:p>
            <w:r>
              <w:t>2.2.1</w:t>
            </w:r>
          </w:p>
        </w:tc>
        <w:tc>
          <w:tcPr>
            <w:tcW w:w="2700" w:type="dxa"/>
            <w:vAlign w:val="center"/>
          </w:tcPr>
          <w:p>
            <w:r>
              <w:rPr>
                <w:rFonts w:hint="eastAsia"/>
              </w:rPr>
              <w:t>投标人要求澄清招标文件的截止时间</w:t>
            </w:r>
          </w:p>
        </w:tc>
        <w:tc>
          <w:tcPr>
            <w:tcW w:w="5400" w:type="dxa"/>
          </w:tcPr>
          <w:p>
            <w:r>
              <w:rPr>
                <w:szCs w:val="21"/>
              </w:rPr>
              <w:t>20</w:t>
            </w:r>
            <w:r>
              <w:rPr>
                <w:rFonts w:hint="eastAsia"/>
                <w:szCs w:val="21"/>
              </w:rPr>
              <w:t>20年</w:t>
            </w:r>
            <w:r>
              <w:rPr>
                <w:rFonts w:hint="eastAsia"/>
                <w:szCs w:val="21"/>
                <w:u w:val="single"/>
                <w:lang w:val="en-US" w:eastAsia="zh-CN"/>
              </w:rPr>
              <w:t>9</w:t>
            </w:r>
            <w:r>
              <w:rPr>
                <w:rFonts w:hint="eastAsia"/>
                <w:szCs w:val="21"/>
              </w:rPr>
              <w:t>月</w:t>
            </w:r>
            <w:r>
              <w:rPr>
                <w:rFonts w:hint="eastAsia"/>
                <w:szCs w:val="21"/>
                <w:u w:val="single"/>
                <w:lang w:val="en-US" w:eastAsia="zh-CN"/>
              </w:rPr>
              <w:t>29</w:t>
            </w:r>
            <w:r>
              <w:rPr>
                <w:rFonts w:hint="eastAsia"/>
                <w:szCs w:val="21"/>
              </w:rPr>
              <w:t>日</w:t>
            </w:r>
            <w:r>
              <w:rPr>
                <w:rFonts w:hint="eastAsia"/>
                <w:szCs w:val="21"/>
                <w:u w:val="single"/>
              </w:rPr>
              <w:t>14：0</w:t>
            </w:r>
            <w:r>
              <w:rPr>
                <w:szCs w:val="21"/>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08" w:type="dxa"/>
            <w:vMerge w:val="continue"/>
            <w:vAlign w:val="center"/>
          </w:tcPr>
          <w:p/>
        </w:tc>
        <w:tc>
          <w:tcPr>
            <w:tcW w:w="2700" w:type="dxa"/>
            <w:vAlign w:val="center"/>
          </w:tcPr>
          <w:p>
            <w:r>
              <w:rPr>
                <w:rFonts w:hint="eastAsia"/>
                <w:szCs w:val="21"/>
              </w:rPr>
              <w:t>招标人接受澄清的电子邮箱</w:t>
            </w:r>
          </w:p>
        </w:tc>
        <w:tc>
          <w:tcPr>
            <w:tcW w:w="5400" w:type="dxa"/>
          </w:tcPr>
          <w:p>
            <w:pPr>
              <w:rPr>
                <w:rFonts w:hint="default" w:eastAsia="宋体"/>
                <w:lang w:val="en-US" w:eastAsia="zh-CN"/>
              </w:rPr>
            </w:pPr>
            <w:r>
              <w:rPr>
                <w:rFonts w:hint="eastAsia"/>
                <w:szCs w:val="21"/>
              </w:rPr>
              <w:t>732206981@qq.com</w:t>
            </w:r>
            <w:bookmarkStart w:id="89" w:name="_GoBack"/>
            <w:bookmarkEnd w:id="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r>
              <w:t>2.2.2</w:t>
            </w:r>
          </w:p>
        </w:tc>
        <w:tc>
          <w:tcPr>
            <w:tcW w:w="2700" w:type="dxa"/>
            <w:vAlign w:val="center"/>
          </w:tcPr>
          <w:p>
            <w:r>
              <w:rPr>
                <w:rFonts w:hint="eastAsia"/>
              </w:rPr>
              <w:t>投标截止时间</w:t>
            </w:r>
          </w:p>
        </w:tc>
        <w:tc>
          <w:tcPr>
            <w:tcW w:w="5400" w:type="dxa"/>
          </w:tcPr>
          <w:p>
            <w:pPr>
              <w:rPr>
                <w:b/>
              </w:rPr>
            </w:pPr>
            <w:r>
              <w:rPr>
                <w:b/>
              </w:rPr>
              <w:t>20</w:t>
            </w:r>
            <w:r>
              <w:rPr>
                <w:rFonts w:hint="eastAsia"/>
                <w:b/>
              </w:rPr>
              <w:t>20年</w:t>
            </w:r>
            <w:r>
              <w:rPr>
                <w:rFonts w:hint="eastAsia"/>
                <w:b/>
                <w:lang w:val="en-US" w:eastAsia="zh-CN"/>
              </w:rPr>
              <w:t>9</w:t>
            </w:r>
            <w:r>
              <w:rPr>
                <w:rFonts w:hint="eastAsia"/>
                <w:b/>
              </w:rPr>
              <w:t>月</w:t>
            </w:r>
            <w:r>
              <w:rPr>
                <w:rFonts w:hint="eastAsia"/>
                <w:b/>
                <w:lang w:val="en-US" w:eastAsia="zh-CN"/>
              </w:rPr>
              <w:t>29</w:t>
            </w:r>
            <w:r>
              <w:rPr>
                <w:rFonts w:hint="eastAsia"/>
                <w:b/>
              </w:rPr>
              <w:t>日14：0</w:t>
            </w:r>
            <w:r>
              <w:rPr>
                <w:b/>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08" w:type="dxa"/>
            <w:vAlign w:val="center"/>
          </w:tcPr>
          <w:p>
            <w:r>
              <w:t>3.1.1</w:t>
            </w:r>
          </w:p>
        </w:tc>
        <w:tc>
          <w:tcPr>
            <w:tcW w:w="2700" w:type="dxa"/>
            <w:vAlign w:val="center"/>
          </w:tcPr>
          <w:p>
            <w:r>
              <w:rPr>
                <w:rFonts w:hint="eastAsia"/>
              </w:rPr>
              <w:t>构成投标文件的其他材料</w:t>
            </w:r>
          </w:p>
        </w:tc>
        <w:tc>
          <w:tcPr>
            <w:tcW w:w="5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r>
              <w:t>3.3.1</w:t>
            </w:r>
          </w:p>
        </w:tc>
        <w:tc>
          <w:tcPr>
            <w:tcW w:w="2700" w:type="dxa"/>
            <w:vAlign w:val="center"/>
          </w:tcPr>
          <w:p>
            <w:r>
              <w:rPr>
                <w:rFonts w:hint="eastAsia"/>
              </w:rPr>
              <w:t>投标有效期</w:t>
            </w:r>
          </w:p>
        </w:tc>
        <w:tc>
          <w:tcPr>
            <w:tcW w:w="5400" w:type="dxa"/>
          </w:tcPr>
          <w:p>
            <w:r>
              <w:rPr>
                <w:rFonts w:hint="eastAsia"/>
              </w:rPr>
              <w:t>递交投标文件截止之日起的</w:t>
            </w:r>
            <w:r>
              <w:t>90</w:t>
            </w:r>
            <w:r>
              <w:rPr>
                <w:rFonts w:hint="eastAsia"/>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r>
              <w:t>3.4.1</w:t>
            </w:r>
          </w:p>
        </w:tc>
        <w:tc>
          <w:tcPr>
            <w:tcW w:w="2700" w:type="dxa"/>
            <w:vAlign w:val="center"/>
          </w:tcPr>
          <w:p>
            <w:r>
              <w:rPr>
                <w:rFonts w:hint="eastAsia"/>
              </w:rPr>
              <w:t>投标保证金</w:t>
            </w:r>
          </w:p>
        </w:tc>
        <w:tc>
          <w:tcPr>
            <w:tcW w:w="5400" w:type="dxa"/>
          </w:tcPr>
          <w:p>
            <w:r>
              <w:rPr>
                <w:rFonts w:hint="eastAsia" w:ascii="宋体" w:hAnsi="Calibri" w:cs="宋体"/>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r>
              <w:t>3.5.2</w:t>
            </w:r>
          </w:p>
        </w:tc>
        <w:tc>
          <w:tcPr>
            <w:tcW w:w="2700" w:type="dxa"/>
            <w:vAlign w:val="center"/>
          </w:tcPr>
          <w:p>
            <w:r>
              <w:rPr>
                <w:rFonts w:hint="eastAsia"/>
              </w:rPr>
              <w:t>近年财务状况的年份要求</w:t>
            </w:r>
          </w:p>
        </w:tc>
        <w:tc>
          <w:tcPr>
            <w:tcW w:w="5400" w:type="dxa"/>
          </w:tcPr>
          <w:p>
            <w:r>
              <w:t>2</w:t>
            </w:r>
            <w:r>
              <w:rPr>
                <w:rFonts w:hint="eastAsia"/>
              </w:rPr>
              <w:t>年（</w:t>
            </w:r>
            <w:r>
              <w:t>20</w:t>
            </w:r>
            <w:r>
              <w:rPr>
                <w:rFonts w:hint="eastAsia"/>
              </w:rPr>
              <w:t>18年、</w:t>
            </w:r>
            <w:r>
              <w:t>201</w:t>
            </w:r>
            <w:r>
              <w:rPr>
                <w:rFonts w:hint="eastAsia"/>
              </w:rPr>
              <w:t>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r>
              <w:t>3.5.3</w:t>
            </w:r>
          </w:p>
        </w:tc>
        <w:tc>
          <w:tcPr>
            <w:tcW w:w="2700" w:type="dxa"/>
            <w:vAlign w:val="center"/>
          </w:tcPr>
          <w:p>
            <w:r>
              <w:rPr>
                <w:rFonts w:hint="eastAsia"/>
              </w:rPr>
              <w:t>近年完成的类似项目的年份要求</w:t>
            </w:r>
          </w:p>
        </w:tc>
        <w:tc>
          <w:tcPr>
            <w:tcW w:w="5400"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r>
              <w:t>3.5.5</w:t>
            </w:r>
          </w:p>
        </w:tc>
        <w:tc>
          <w:tcPr>
            <w:tcW w:w="2700" w:type="dxa"/>
            <w:vAlign w:val="center"/>
          </w:tcPr>
          <w:p>
            <w:r>
              <w:rPr>
                <w:rFonts w:hint="eastAsia"/>
              </w:rPr>
              <w:t>近年发生的诉讼及仲裁情况的年份要求</w:t>
            </w:r>
          </w:p>
        </w:tc>
        <w:tc>
          <w:tcPr>
            <w:tcW w:w="5400" w:type="dxa"/>
          </w:tcPr>
          <w:p>
            <w:r>
              <w:rPr>
                <w:rFonts w:hint="eastAsia"/>
              </w:rPr>
              <w:t>5年（</w:t>
            </w:r>
            <w:r>
              <w:t>201</w:t>
            </w:r>
            <w:r>
              <w:rPr>
                <w:rFonts w:hint="eastAsia"/>
              </w:rPr>
              <w:t>5年</w:t>
            </w:r>
            <w:r>
              <w:t>1</w:t>
            </w:r>
            <w:r>
              <w:rPr>
                <w:rFonts w:hint="eastAsia"/>
              </w:rPr>
              <w:t>月</w:t>
            </w:r>
            <w:r>
              <w:t>1</w:t>
            </w:r>
            <w:r>
              <w:rPr>
                <w:rFonts w:hint="eastAsia"/>
              </w:rPr>
              <w:t>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r>
              <w:t>3.6</w:t>
            </w:r>
          </w:p>
        </w:tc>
        <w:tc>
          <w:tcPr>
            <w:tcW w:w="2700" w:type="dxa"/>
            <w:vAlign w:val="center"/>
          </w:tcPr>
          <w:p>
            <w:r>
              <w:rPr>
                <w:rFonts w:hint="eastAsia"/>
              </w:rPr>
              <w:t>是否允许递交备选投标方案</w:t>
            </w:r>
          </w:p>
        </w:tc>
        <w:tc>
          <w:tcPr>
            <w:tcW w:w="5400" w:type="dxa"/>
          </w:tcPr>
          <w:p>
            <w:r>
              <w:t>√</w:t>
            </w:r>
            <w:r>
              <w:rPr>
                <w:rFonts w:hint="eastAsi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r>
              <w:t>3.7.3</w:t>
            </w:r>
          </w:p>
        </w:tc>
        <w:tc>
          <w:tcPr>
            <w:tcW w:w="2700" w:type="dxa"/>
            <w:vAlign w:val="center"/>
          </w:tcPr>
          <w:p>
            <w:r>
              <w:rPr>
                <w:rFonts w:hint="eastAsia"/>
              </w:rPr>
              <w:t>签字或盖章要求</w:t>
            </w:r>
          </w:p>
        </w:tc>
        <w:tc>
          <w:tcPr>
            <w:tcW w:w="5400" w:type="dxa"/>
          </w:tcPr>
          <w:p>
            <w:r>
              <w:rPr>
                <w:rFonts w:hint="eastAsia"/>
              </w:rPr>
              <w:t>单位法人代表或授权委托人签字或盖章，盖单位公章。</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restart"/>
            <w:vAlign w:val="center"/>
          </w:tcPr>
          <w:p>
            <w:r>
              <w:t>3.7.4</w:t>
            </w:r>
          </w:p>
        </w:tc>
        <w:tc>
          <w:tcPr>
            <w:tcW w:w="2700" w:type="dxa"/>
            <w:vAlign w:val="center"/>
          </w:tcPr>
          <w:p>
            <w:r>
              <w:rPr>
                <w:rFonts w:hint="eastAsia"/>
              </w:rPr>
              <w:t>投标文件副本份数</w:t>
            </w:r>
          </w:p>
        </w:tc>
        <w:tc>
          <w:tcPr>
            <w:tcW w:w="5400" w:type="dxa"/>
          </w:tcPr>
          <w:p>
            <w:r>
              <w:rPr>
                <w:rFonts w:hint="eastAsia"/>
              </w:rPr>
              <w:t>正本</w:t>
            </w:r>
            <w:r>
              <w:rPr>
                <w:u w:val="single"/>
              </w:rPr>
              <w:t>1</w:t>
            </w:r>
            <w:r>
              <w:rPr>
                <w:rFonts w:hint="eastAsia"/>
              </w:rPr>
              <w:t>份副本</w:t>
            </w:r>
            <w:r>
              <w:rPr>
                <w:u w:val="single"/>
              </w:rPr>
              <w:t>4</w:t>
            </w:r>
            <w:r>
              <w:rPr>
                <w:rFonts w:hint="eastAsia"/>
              </w:rPr>
              <w:t>份。副本可为正本复印件。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Merge w:val="continue"/>
            <w:vAlign w:val="center"/>
          </w:tcPr>
          <w:p/>
        </w:tc>
        <w:tc>
          <w:tcPr>
            <w:tcW w:w="2700" w:type="dxa"/>
            <w:vAlign w:val="center"/>
          </w:tcPr>
          <w:p>
            <w:r>
              <w:rPr>
                <w:rFonts w:hint="eastAsia"/>
              </w:rPr>
              <w:t>投标文件电子版文件的份数及要求</w:t>
            </w:r>
          </w:p>
        </w:tc>
        <w:tc>
          <w:tcPr>
            <w:tcW w:w="5400" w:type="dxa"/>
          </w:tcPr>
          <w:p>
            <w:r>
              <w:rPr>
                <w:rFonts w:hint="eastAsia"/>
              </w:rPr>
              <w:t>电子版文件1份；投标函为盖章扫描件，其余可为</w:t>
            </w:r>
            <w:r>
              <w:rPr>
                <w:rFonts w:hint="eastAsia" w:ascii="宋体" w:hAnsi="宋体" w:cs="Microsoft JhengHei"/>
                <w:kern w:val="0"/>
                <w:szCs w:val="21"/>
              </w:rPr>
              <w:t>Word版本</w:t>
            </w:r>
            <w:r>
              <w:rPr>
                <w:rFonts w:hint="eastAsia"/>
              </w:rPr>
              <w:t>。</w:t>
            </w:r>
          </w:p>
          <w:p>
            <w:r>
              <w:rPr>
                <w:rFonts w:hint="eastAsia"/>
              </w:rPr>
              <w:t>电子版文件载体：</w:t>
            </w:r>
            <w:r>
              <w:t>U</w:t>
            </w:r>
            <w:r>
              <w:rPr>
                <w:rFonts w:hint="eastAsia"/>
              </w:rPr>
              <w:t>盘</w:t>
            </w:r>
          </w:p>
          <w:p>
            <w:r>
              <w:rPr>
                <w:rFonts w:hint="eastAsia"/>
              </w:rPr>
              <w:t>其它要求：投标文件电子版内容与纸质投标文件内容一致；单独放入一个密封袋中，加贴封条，并在封套封口处加盖投标人单位章，在封套上标记“投标文件电子版”字样。（如二者不一致，以纸质文件为准）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r>
              <w:t>3.7.5</w:t>
            </w:r>
          </w:p>
        </w:tc>
        <w:tc>
          <w:tcPr>
            <w:tcW w:w="2700" w:type="dxa"/>
            <w:vAlign w:val="center"/>
          </w:tcPr>
          <w:p>
            <w:r>
              <w:rPr>
                <w:rFonts w:hint="eastAsia"/>
              </w:rPr>
              <w:t>装订要求</w:t>
            </w:r>
          </w:p>
        </w:tc>
        <w:tc>
          <w:tcPr>
            <w:tcW w:w="5400" w:type="dxa"/>
          </w:tcPr>
          <w:p>
            <w:r>
              <w:rPr>
                <w:rFonts w:hint="eastAsia"/>
              </w:rPr>
              <w:t>按照投标人须知第</w:t>
            </w:r>
            <w:r>
              <w:t xml:space="preserve"> 3.1.1 </w:t>
            </w:r>
            <w:r>
              <w:rPr>
                <w:rFonts w:hint="eastAsia"/>
              </w:rPr>
              <w:t>项规定的投标文件组成内容，投标文件应按以下要求装订：装订应牢固、不易拆散和换页，不得采用活页装订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008" w:type="dxa"/>
            <w:vAlign w:val="center"/>
          </w:tcPr>
          <w:p>
            <w:r>
              <w:t>4.1.2</w:t>
            </w:r>
          </w:p>
        </w:tc>
        <w:tc>
          <w:tcPr>
            <w:tcW w:w="2700" w:type="dxa"/>
            <w:vAlign w:val="center"/>
          </w:tcPr>
          <w:p>
            <w:r>
              <w:rPr>
                <w:rFonts w:hint="eastAsia"/>
              </w:rPr>
              <w:t>封套上写明</w:t>
            </w:r>
          </w:p>
        </w:tc>
        <w:tc>
          <w:tcPr>
            <w:tcW w:w="5400" w:type="dxa"/>
          </w:tcPr>
          <w:p>
            <w:r>
              <w:t>1</w:t>
            </w:r>
            <w:r>
              <w:rPr>
                <w:rFonts w:hint="eastAsia"/>
              </w:rPr>
              <w:t>、招标人名称、标段名称、投标人的名称</w:t>
            </w:r>
          </w:p>
          <w:p>
            <w:pPr>
              <w:rPr>
                <w:u w:val="single"/>
              </w:rPr>
            </w:pPr>
            <w:r>
              <w:t>2</w:t>
            </w:r>
            <w:r>
              <w:rPr>
                <w:rFonts w:hint="eastAsia"/>
              </w:rPr>
              <w:t>、</w:t>
            </w:r>
            <w:r>
              <w:rPr>
                <w:rFonts w:hint="eastAsia"/>
                <w:u w:val="single"/>
              </w:rPr>
              <w:t>（项目名称）在</w:t>
            </w:r>
            <w:r>
              <w:rPr>
                <w:u w:val="single"/>
              </w:rPr>
              <w:t xml:space="preserve"> </w:t>
            </w:r>
            <w:r>
              <w:rPr>
                <w:rFonts w:hint="eastAsia"/>
                <w:u w:val="single"/>
              </w:rPr>
              <w:t>年月</w:t>
            </w:r>
            <w:r>
              <w:rPr>
                <w:u w:val="single"/>
              </w:rPr>
              <w:t xml:space="preserve"> </w:t>
            </w:r>
            <w:r>
              <w:rPr>
                <w:rFonts w:hint="eastAsia"/>
                <w:u w:val="single"/>
              </w:rPr>
              <w:t>日</w:t>
            </w:r>
            <w:r>
              <w:rPr>
                <w:u w:val="single"/>
              </w:rPr>
              <w:t xml:space="preserve"> </w:t>
            </w:r>
            <w:r>
              <w:rPr>
                <w:rFonts w:hint="eastAsia"/>
                <w:u w:val="single"/>
              </w:rPr>
              <w:t>时</w:t>
            </w:r>
            <w:r>
              <w:rPr>
                <w:u w:val="single"/>
              </w:rPr>
              <w:t xml:space="preserve"> </w:t>
            </w:r>
            <w:r>
              <w:rPr>
                <w:rFonts w:hint="eastAsia"/>
                <w:u w:val="single"/>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r>
              <w:t>4.2.2</w:t>
            </w:r>
          </w:p>
        </w:tc>
        <w:tc>
          <w:tcPr>
            <w:tcW w:w="2700" w:type="dxa"/>
            <w:vAlign w:val="center"/>
          </w:tcPr>
          <w:p>
            <w:r>
              <w:rPr>
                <w:rFonts w:hint="eastAsia"/>
              </w:rPr>
              <w:t>递交投标文件地点</w:t>
            </w:r>
          </w:p>
        </w:tc>
        <w:tc>
          <w:tcPr>
            <w:tcW w:w="5400" w:type="dxa"/>
          </w:tcPr>
          <w:p>
            <w:r>
              <w:rPr>
                <w:rFonts w:hint="eastAsia"/>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r>
              <w:t>4.2.3</w:t>
            </w:r>
          </w:p>
        </w:tc>
        <w:tc>
          <w:tcPr>
            <w:tcW w:w="2700" w:type="dxa"/>
            <w:vAlign w:val="center"/>
          </w:tcPr>
          <w:p>
            <w:r>
              <w:rPr>
                <w:rFonts w:hint="eastAsia"/>
              </w:rPr>
              <w:t>是否退还投标文件</w:t>
            </w:r>
          </w:p>
        </w:tc>
        <w:tc>
          <w:tcPr>
            <w:tcW w:w="5400" w:type="dxa"/>
          </w:tcPr>
          <w:p>
            <w: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r>
              <w:t>4.2.6</w:t>
            </w:r>
          </w:p>
        </w:tc>
        <w:tc>
          <w:tcPr>
            <w:tcW w:w="2700" w:type="dxa"/>
            <w:vAlign w:val="center"/>
          </w:tcPr>
          <w:p>
            <w:r>
              <w:rPr>
                <w:rFonts w:hint="eastAsia"/>
              </w:rPr>
              <w:t>招标人通知延后投标截止时间的时间</w:t>
            </w:r>
          </w:p>
        </w:tc>
        <w:tc>
          <w:tcPr>
            <w:tcW w:w="5400" w:type="dxa"/>
            <w:vAlign w:val="center"/>
          </w:tcPr>
          <w:p>
            <w:r>
              <w:rPr>
                <w:rFonts w:hint="eastAsia"/>
              </w:rPr>
              <w:t>原定投标截止时间</w:t>
            </w:r>
            <w:r>
              <w:rPr>
                <w:rFonts w:hint="eastAsia"/>
                <w:u w:val="single"/>
              </w:rPr>
              <w:t>1</w:t>
            </w:r>
            <w:r>
              <w:rPr>
                <w:rFonts w:hint="eastAsia"/>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r>
              <w:t>5.1</w:t>
            </w:r>
          </w:p>
        </w:tc>
        <w:tc>
          <w:tcPr>
            <w:tcW w:w="2700" w:type="dxa"/>
            <w:vAlign w:val="center"/>
          </w:tcPr>
          <w:p>
            <w:r>
              <w:rPr>
                <w:rFonts w:hint="eastAsia"/>
              </w:rPr>
              <w:t>开标时间和地点</w:t>
            </w:r>
          </w:p>
        </w:tc>
        <w:tc>
          <w:tcPr>
            <w:tcW w:w="5400" w:type="dxa"/>
          </w:tcPr>
          <w:p>
            <w:r>
              <w:rPr>
                <w:rFonts w:hint="eastAsia"/>
              </w:rPr>
              <w:t>因防疫需要，本项目不邀请投标人公开开标。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r>
              <w:t>6.1.1</w:t>
            </w:r>
          </w:p>
        </w:tc>
        <w:tc>
          <w:tcPr>
            <w:tcW w:w="2700" w:type="dxa"/>
            <w:vAlign w:val="center"/>
          </w:tcPr>
          <w:p>
            <w:r>
              <w:rPr>
                <w:rFonts w:hint="eastAsia"/>
              </w:rPr>
              <w:t>评标委员会的组建</w:t>
            </w:r>
          </w:p>
        </w:tc>
        <w:tc>
          <w:tcPr>
            <w:tcW w:w="5400" w:type="dxa"/>
          </w:tcPr>
          <w:p>
            <w:r>
              <w:rPr>
                <w:rFonts w:hint="eastAsia"/>
              </w:rPr>
              <w:t>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r>
              <w:t>7.1</w:t>
            </w:r>
          </w:p>
        </w:tc>
        <w:tc>
          <w:tcPr>
            <w:tcW w:w="2700" w:type="dxa"/>
            <w:vAlign w:val="center"/>
          </w:tcPr>
          <w:p>
            <w:r>
              <w:rPr>
                <w:rFonts w:hint="eastAsia"/>
              </w:rPr>
              <w:t>是否授权评标委员会确定中标人</w:t>
            </w:r>
          </w:p>
        </w:tc>
        <w:tc>
          <w:tcPr>
            <w:tcW w:w="5400" w:type="dxa"/>
          </w:tcPr>
          <w:p>
            <w:r>
              <w:t>√</w:t>
            </w:r>
            <w:r>
              <w:rPr>
                <w:rFonts w:hint="eastAsia"/>
              </w:rPr>
              <w:t>否，推荐中标候选人人数1-3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r>
              <w:rPr>
                <w:rFonts w:hint="eastAsia"/>
              </w:rPr>
              <w:t>9</w:t>
            </w:r>
          </w:p>
        </w:tc>
        <w:tc>
          <w:tcPr>
            <w:tcW w:w="2700" w:type="dxa"/>
            <w:vAlign w:val="center"/>
          </w:tcPr>
          <w:p>
            <w:r>
              <w:rPr>
                <w:rFonts w:hint="eastAsia"/>
              </w:rPr>
              <w:t>补充内容</w:t>
            </w:r>
          </w:p>
        </w:tc>
        <w:tc>
          <w:tcPr>
            <w:tcW w:w="5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r>
              <w:rPr>
                <w:rFonts w:hint="eastAsia"/>
              </w:rPr>
              <w:t>9.1</w:t>
            </w:r>
          </w:p>
        </w:tc>
        <w:tc>
          <w:tcPr>
            <w:tcW w:w="2700" w:type="dxa"/>
            <w:vAlign w:val="center"/>
          </w:tcPr>
          <w:p>
            <w:r>
              <w:rPr>
                <w:rFonts w:hint="eastAsia"/>
              </w:rPr>
              <w:t>最高限价</w:t>
            </w:r>
          </w:p>
        </w:tc>
        <w:tc>
          <w:tcPr>
            <w:tcW w:w="5400" w:type="dxa"/>
          </w:tcPr>
          <w:p>
            <w:r>
              <w:rPr>
                <w:rFonts w:hint="eastAsia"/>
              </w:rPr>
              <w:t>标段1：本项目设置最高限价：</w:t>
            </w:r>
            <w:r>
              <w:rPr>
                <w:rFonts w:hint="eastAsia" w:asciiTheme="minorEastAsia" w:hAnsiTheme="minorEastAsia" w:eastAsiaTheme="minorEastAsia"/>
                <w:szCs w:val="21"/>
              </w:rPr>
              <w:t>以国家计委关于印发《招标代理服务收费管理暂行办法》的通知（计价格[2002]1980号）及国家发展改革委办公厅关于招标代理服务收费有关问题的通知（发改办价格[2003]857号）规定的招标代理服务费率为基础乘以</w:t>
            </w:r>
            <w:r>
              <w:rPr>
                <w:rFonts w:hint="eastAsia" w:asciiTheme="minorEastAsia" w:hAnsiTheme="minorEastAsia" w:eastAsiaTheme="minorEastAsia"/>
                <w:b/>
                <w:szCs w:val="21"/>
              </w:rPr>
              <w:t>60%</w:t>
            </w:r>
            <w:r>
              <w:rPr>
                <w:rFonts w:hint="eastAsia"/>
              </w:rPr>
              <w:t>；超过该限价将被否决。</w:t>
            </w:r>
          </w:p>
          <w:p>
            <w:r>
              <w:rPr>
                <w:rFonts w:hint="eastAsia"/>
              </w:rPr>
              <w:t>标段2：本项目设置最高限价：</w:t>
            </w:r>
            <w:r>
              <w:rPr>
                <w:rFonts w:hint="eastAsia" w:asciiTheme="minorEastAsia" w:hAnsiTheme="minorEastAsia" w:eastAsiaTheme="minorEastAsia"/>
                <w:szCs w:val="21"/>
              </w:rPr>
              <w:t>以国家计委关于印发《招标代理服务收费管理暂行办法》的通知（计价格[2002]1980号）及国家发展改革委办公厅关于招标代理服务收费有关问题的通知（发改办价格[2003]857号）规定的招标代理服务费率为基础乘以</w:t>
            </w:r>
            <w:r>
              <w:rPr>
                <w:rFonts w:hint="eastAsia" w:asciiTheme="minorEastAsia" w:hAnsiTheme="minorEastAsia" w:eastAsiaTheme="minorEastAsia"/>
                <w:b/>
                <w:szCs w:val="21"/>
              </w:rPr>
              <w:t>70%</w:t>
            </w:r>
            <w:r>
              <w:rPr>
                <w:rFonts w:hint="eastAsia"/>
              </w:rPr>
              <w:t>；超过该限价将被否决。</w:t>
            </w:r>
          </w:p>
        </w:tc>
      </w:tr>
    </w:tbl>
    <w:p>
      <w:pPr>
        <w:spacing w:line="400" w:lineRule="exact"/>
        <w:ind w:right="482"/>
        <w:rPr>
          <w:sz w:val="24"/>
        </w:rPr>
        <w:sectPr>
          <w:footnotePr>
            <w:numFmt w:val="decimalEnclosedCircleChinese"/>
          </w:footnotePr>
          <w:pgSz w:w="11906" w:h="16838"/>
          <w:pgMar w:top="1440" w:right="1800" w:bottom="1440" w:left="1800" w:header="851" w:footer="992" w:gutter="0"/>
          <w:cols w:space="720" w:num="1"/>
          <w:docGrid w:type="lines" w:linePitch="312" w:charSpace="0"/>
        </w:sectPr>
      </w:pPr>
    </w:p>
    <w:p>
      <w:pPr>
        <w:pStyle w:val="140"/>
        <w:outlineLvl w:val="1"/>
      </w:pPr>
      <w:bookmarkStart w:id="4" w:name="_Toc46325154"/>
      <w:r>
        <w:t xml:space="preserve">1. </w:t>
      </w:r>
      <w:r>
        <w:rPr>
          <w:rFonts w:hint="eastAsia"/>
        </w:rPr>
        <w:t>总则</w:t>
      </w:r>
      <w:bookmarkEnd w:id="4"/>
    </w:p>
    <w:p>
      <w:pPr>
        <w:spacing w:line="400" w:lineRule="exact"/>
        <w:outlineLvl w:val="2"/>
        <w:rPr>
          <w:sz w:val="24"/>
        </w:rPr>
      </w:pPr>
      <w:bookmarkStart w:id="5" w:name="_Toc46325155"/>
      <w:r>
        <w:rPr>
          <w:sz w:val="24"/>
        </w:rPr>
        <w:t xml:space="preserve">1.1 </w:t>
      </w:r>
      <w:r>
        <w:rPr>
          <w:rFonts w:hint="eastAsia"/>
          <w:sz w:val="24"/>
        </w:rPr>
        <w:t>项目概况</w:t>
      </w:r>
      <w:bookmarkEnd w:id="5"/>
    </w:p>
    <w:p>
      <w:pPr>
        <w:spacing w:line="400" w:lineRule="exact"/>
        <w:ind w:firstLine="420"/>
        <w:rPr>
          <w:szCs w:val="21"/>
        </w:rPr>
      </w:pPr>
      <w:r>
        <w:rPr>
          <w:szCs w:val="21"/>
        </w:rPr>
        <w:t xml:space="preserve">1.1.1  </w:t>
      </w:r>
      <w:r>
        <w:rPr>
          <w:rFonts w:hint="eastAsia"/>
          <w:szCs w:val="21"/>
        </w:rPr>
        <w:t>根据《中华人民共和国招标投标法》等有关法律、法规和规章的规定，本招标项目已具备招标条件，现对本项目进行招标。</w:t>
      </w:r>
    </w:p>
    <w:p>
      <w:pPr>
        <w:spacing w:line="400" w:lineRule="exact"/>
        <w:ind w:firstLine="420"/>
        <w:rPr>
          <w:szCs w:val="21"/>
        </w:rPr>
      </w:pPr>
      <w:r>
        <w:rPr>
          <w:szCs w:val="21"/>
        </w:rPr>
        <w:t xml:space="preserve">1.1.2  </w:t>
      </w:r>
      <w:r>
        <w:rPr>
          <w:rFonts w:hint="eastAsia"/>
          <w:szCs w:val="21"/>
        </w:rPr>
        <w:t>本招标项目招标人：见投标人须知前附表。</w:t>
      </w:r>
    </w:p>
    <w:p>
      <w:pPr>
        <w:spacing w:line="400" w:lineRule="exact"/>
        <w:ind w:firstLine="420"/>
        <w:rPr>
          <w:szCs w:val="21"/>
        </w:rPr>
      </w:pPr>
      <w:r>
        <w:rPr>
          <w:szCs w:val="21"/>
        </w:rPr>
        <w:t xml:space="preserve">1.1.3  </w:t>
      </w:r>
      <w:r>
        <w:rPr>
          <w:rFonts w:hint="eastAsia"/>
          <w:szCs w:val="21"/>
        </w:rPr>
        <w:t>本招标项目名称：见投标人须知前附表。</w:t>
      </w:r>
    </w:p>
    <w:p>
      <w:pPr>
        <w:spacing w:line="400" w:lineRule="exact"/>
        <w:ind w:firstLine="420"/>
        <w:rPr>
          <w:szCs w:val="21"/>
        </w:rPr>
      </w:pPr>
      <w:r>
        <w:rPr>
          <w:szCs w:val="21"/>
        </w:rPr>
        <w:t xml:space="preserve">1.1.4  </w:t>
      </w:r>
      <w:r>
        <w:rPr>
          <w:rFonts w:hint="eastAsia"/>
          <w:szCs w:val="21"/>
        </w:rPr>
        <w:t>本标段建设地点：见投标人须知前附表。</w:t>
      </w:r>
    </w:p>
    <w:p>
      <w:pPr>
        <w:pStyle w:val="68"/>
        <w:outlineLvl w:val="2"/>
      </w:pPr>
      <w:bookmarkStart w:id="6" w:name="_Toc46325156"/>
      <w:r>
        <w:t xml:space="preserve">1.2 </w:t>
      </w:r>
      <w:r>
        <w:rPr>
          <w:rFonts w:hint="eastAsia"/>
        </w:rPr>
        <w:t>资金来源和落实情况</w:t>
      </w:r>
      <w:bookmarkEnd w:id="6"/>
    </w:p>
    <w:p>
      <w:pPr>
        <w:spacing w:line="400" w:lineRule="exact"/>
        <w:ind w:firstLine="420"/>
        <w:rPr>
          <w:szCs w:val="21"/>
        </w:rPr>
      </w:pPr>
      <w:r>
        <w:rPr>
          <w:szCs w:val="21"/>
        </w:rPr>
        <w:t xml:space="preserve">1.2.1  </w:t>
      </w:r>
      <w:r>
        <w:rPr>
          <w:rFonts w:hint="eastAsia"/>
          <w:szCs w:val="21"/>
        </w:rPr>
        <w:t>本招标项目的资金来源：见投标人须知前附表。</w:t>
      </w:r>
    </w:p>
    <w:p>
      <w:pPr>
        <w:spacing w:line="400" w:lineRule="exact"/>
        <w:ind w:firstLine="420"/>
        <w:rPr>
          <w:szCs w:val="21"/>
        </w:rPr>
      </w:pPr>
      <w:r>
        <w:rPr>
          <w:szCs w:val="21"/>
        </w:rPr>
        <w:t xml:space="preserve">1.2.2  </w:t>
      </w:r>
      <w:r>
        <w:rPr>
          <w:rFonts w:hint="eastAsia"/>
          <w:szCs w:val="21"/>
        </w:rPr>
        <w:t>本招标项目的出资比例：见投标人须知前附表。</w:t>
      </w:r>
    </w:p>
    <w:p>
      <w:pPr>
        <w:spacing w:line="400" w:lineRule="exact"/>
        <w:ind w:firstLine="420"/>
        <w:rPr>
          <w:szCs w:val="21"/>
        </w:rPr>
      </w:pPr>
      <w:r>
        <w:rPr>
          <w:szCs w:val="21"/>
        </w:rPr>
        <w:t xml:space="preserve">1.2.3  </w:t>
      </w:r>
      <w:r>
        <w:rPr>
          <w:rFonts w:hint="eastAsia"/>
          <w:szCs w:val="21"/>
        </w:rPr>
        <w:t>本招标项目的资金落实情况：见投标人须知前附表。</w:t>
      </w:r>
    </w:p>
    <w:p>
      <w:pPr>
        <w:pStyle w:val="68"/>
        <w:outlineLvl w:val="2"/>
      </w:pPr>
      <w:bookmarkStart w:id="7" w:name="_Toc46325157"/>
      <w:r>
        <w:t xml:space="preserve">1.3 </w:t>
      </w:r>
      <w:r>
        <w:rPr>
          <w:rFonts w:hint="eastAsia"/>
        </w:rPr>
        <w:t>招标范围、服务周期和质量要求</w:t>
      </w:r>
      <w:bookmarkEnd w:id="7"/>
    </w:p>
    <w:p>
      <w:pPr>
        <w:spacing w:line="400" w:lineRule="exact"/>
        <w:ind w:firstLine="420"/>
        <w:rPr>
          <w:szCs w:val="21"/>
        </w:rPr>
      </w:pPr>
      <w:r>
        <w:rPr>
          <w:szCs w:val="21"/>
        </w:rPr>
        <w:t xml:space="preserve">1.3.1  </w:t>
      </w:r>
      <w:r>
        <w:rPr>
          <w:rFonts w:hint="eastAsia"/>
          <w:szCs w:val="21"/>
        </w:rPr>
        <w:t>本次招标范围：见投标人须知前附表。</w:t>
      </w:r>
    </w:p>
    <w:p>
      <w:pPr>
        <w:spacing w:line="400" w:lineRule="exact"/>
        <w:ind w:firstLine="420"/>
        <w:rPr>
          <w:szCs w:val="21"/>
        </w:rPr>
      </w:pPr>
      <w:r>
        <w:rPr>
          <w:szCs w:val="21"/>
        </w:rPr>
        <w:t xml:space="preserve">1.3.2  </w:t>
      </w:r>
      <w:r>
        <w:rPr>
          <w:rFonts w:hint="eastAsia"/>
          <w:szCs w:val="21"/>
        </w:rPr>
        <w:t>本标段的</w:t>
      </w:r>
      <w:r>
        <w:rPr>
          <w:rFonts w:hint="eastAsia"/>
        </w:rPr>
        <w:t>服务周期</w:t>
      </w:r>
      <w:r>
        <w:rPr>
          <w:rFonts w:hint="eastAsia"/>
          <w:szCs w:val="21"/>
        </w:rPr>
        <w:t>：见投标人须知前附表。</w:t>
      </w:r>
    </w:p>
    <w:p>
      <w:pPr>
        <w:spacing w:line="400" w:lineRule="exact"/>
        <w:ind w:firstLine="420"/>
        <w:rPr>
          <w:szCs w:val="21"/>
        </w:rPr>
      </w:pPr>
      <w:r>
        <w:rPr>
          <w:szCs w:val="21"/>
        </w:rPr>
        <w:t xml:space="preserve">1.3.3  </w:t>
      </w:r>
      <w:r>
        <w:rPr>
          <w:rFonts w:hint="eastAsia"/>
          <w:szCs w:val="21"/>
        </w:rPr>
        <w:t>本标段的质量要求：见投标人须知前附表。</w:t>
      </w:r>
    </w:p>
    <w:p>
      <w:pPr>
        <w:pStyle w:val="68"/>
        <w:outlineLvl w:val="2"/>
      </w:pPr>
      <w:bookmarkStart w:id="8" w:name="_Toc46325158"/>
      <w:r>
        <w:t xml:space="preserve">1.4 </w:t>
      </w:r>
      <w:r>
        <w:rPr>
          <w:rFonts w:hint="eastAsia"/>
        </w:rPr>
        <w:t>投标人资格要求</w:t>
      </w:r>
      <w:bookmarkEnd w:id="8"/>
    </w:p>
    <w:p>
      <w:pPr>
        <w:spacing w:line="400" w:lineRule="exact"/>
        <w:ind w:firstLine="420"/>
        <w:rPr>
          <w:szCs w:val="21"/>
        </w:rPr>
      </w:pPr>
      <w:r>
        <w:rPr>
          <w:szCs w:val="21"/>
        </w:rPr>
        <w:t xml:space="preserve">1.4.1  </w:t>
      </w:r>
      <w:r>
        <w:rPr>
          <w:rFonts w:hint="eastAsia"/>
          <w:szCs w:val="21"/>
        </w:rPr>
        <w:t>投标人应具备承担本标段的资质条件、能力和信誉。</w:t>
      </w:r>
    </w:p>
    <w:p>
      <w:pPr>
        <w:spacing w:line="400" w:lineRule="exact"/>
        <w:ind w:firstLine="420"/>
        <w:rPr>
          <w:szCs w:val="21"/>
        </w:rPr>
      </w:pPr>
      <w:r>
        <w:rPr>
          <w:rFonts w:hint="eastAsia"/>
          <w:szCs w:val="21"/>
        </w:rPr>
        <w:t>（</w:t>
      </w:r>
      <w:r>
        <w:rPr>
          <w:szCs w:val="21"/>
        </w:rPr>
        <w:t>1</w:t>
      </w:r>
      <w:r>
        <w:rPr>
          <w:rFonts w:hint="eastAsia"/>
          <w:szCs w:val="21"/>
        </w:rPr>
        <w:t>）资质条件：见投标人须知前附表；</w:t>
      </w:r>
    </w:p>
    <w:p>
      <w:pPr>
        <w:spacing w:line="400" w:lineRule="exact"/>
        <w:ind w:firstLine="420"/>
        <w:rPr>
          <w:szCs w:val="21"/>
        </w:rPr>
      </w:pPr>
      <w:r>
        <w:rPr>
          <w:rFonts w:hint="eastAsia"/>
          <w:szCs w:val="21"/>
        </w:rPr>
        <w:t>（</w:t>
      </w:r>
      <w:r>
        <w:rPr>
          <w:szCs w:val="21"/>
        </w:rPr>
        <w:t>2</w:t>
      </w:r>
      <w:r>
        <w:rPr>
          <w:rFonts w:hint="eastAsia"/>
          <w:szCs w:val="21"/>
        </w:rPr>
        <w:t>）财务要求：见投标人须知前附表；</w:t>
      </w:r>
    </w:p>
    <w:p>
      <w:pPr>
        <w:spacing w:line="400" w:lineRule="exact"/>
        <w:ind w:firstLine="420"/>
        <w:rPr>
          <w:szCs w:val="21"/>
        </w:rPr>
      </w:pPr>
      <w:r>
        <w:rPr>
          <w:rFonts w:hint="eastAsia"/>
          <w:szCs w:val="21"/>
        </w:rPr>
        <w:t>（</w:t>
      </w:r>
      <w:r>
        <w:rPr>
          <w:szCs w:val="21"/>
        </w:rPr>
        <w:t>3</w:t>
      </w:r>
      <w:r>
        <w:rPr>
          <w:rFonts w:hint="eastAsia"/>
          <w:szCs w:val="21"/>
        </w:rPr>
        <w:t>）业绩要求：见投标人须知前附表；</w:t>
      </w:r>
    </w:p>
    <w:p>
      <w:pPr>
        <w:spacing w:line="400" w:lineRule="exact"/>
        <w:ind w:firstLine="420"/>
        <w:rPr>
          <w:szCs w:val="21"/>
        </w:rPr>
      </w:pPr>
      <w:r>
        <w:rPr>
          <w:rFonts w:hint="eastAsia"/>
          <w:szCs w:val="21"/>
        </w:rPr>
        <w:t>（</w:t>
      </w:r>
      <w:r>
        <w:rPr>
          <w:szCs w:val="21"/>
        </w:rPr>
        <w:t>4</w:t>
      </w:r>
      <w:r>
        <w:rPr>
          <w:rFonts w:hint="eastAsia"/>
          <w:szCs w:val="21"/>
        </w:rPr>
        <w:t>）信誉要求：见投标人须知前附表</w:t>
      </w:r>
      <w:r>
        <w:rPr>
          <w:szCs w:val="21"/>
        </w:rPr>
        <w:t>;</w:t>
      </w:r>
    </w:p>
    <w:p>
      <w:pPr>
        <w:spacing w:line="400" w:lineRule="exact"/>
        <w:ind w:firstLine="420"/>
        <w:rPr>
          <w:szCs w:val="21"/>
        </w:rPr>
      </w:pPr>
      <w:r>
        <w:rPr>
          <w:rFonts w:hint="eastAsia"/>
          <w:szCs w:val="21"/>
        </w:rPr>
        <w:t>（</w:t>
      </w:r>
      <w:r>
        <w:rPr>
          <w:szCs w:val="21"/>
        </w:rPr>
        <w:t>5</w:t>
      </w:r>
      <w:r>
        <w:rPr>
          <w:rFonts w:hint="eastAsia"/>
          <w:szCs w:val="21"/>
        </w:rPr>
        <w:t>）项目负责人资格：见投标人须知前附表；</w:t>
      </w:r>
    </w:p>
    <w:p>
      <w:pPr>
        <w:spacing w:line="400" w:lineRule="exact"/>
        <w:ind w:firstLine="420"/>
        <w:rPr>
          <w:szCs w:val="21"/>
        </w:rPr>
      </w:pPr>
      <w:r>
        <w:rPr>
          <w:rFonts w:hint="eastAsia"/>
          <w:szCs w:val="21"/>
        </w:rPr>
        <w:t>（</w:t>
      </w:r>
      <w:r>
        <w:rPr>
          <w:szCs w:val="21"/>
        </w:rPr>
        <w:t>6</w:t>
      </w:r>
      <w:r>
        <w:rPr>
          <w:rFonts w:hint="eastAsia"/>
          <w:szCs w:val="21"/>
        </w:rPr>
        <w:t>）其他要求：见投标人须知前附表。</w:t>
      </w:r>
    </w:p>
    <w:p>
      <w:pPr>
        <w:spacing w:line="400" w:lineRule="exact"/>
        <w:ind w:firstLine="420"/>
        <w:rPr>
          <w:szCs w:val="21"/>
        </w:rPr>
      </w:pPr>
      <w:r>
        <w:rPr>
          <w:szCs w:val="21"/>
        </w:rPr>
        <w:t xml:space="preserve">1.4.2  </w:t>
      </w:r>
      <w:r>
        <w:rPr>
          <w:rFonts w:hint="eastAsia"/>
          <w:szCs w:val="21"/>
        </w:rPr>
        <w:t>投标人不得存在下列情形之一：</w:t>
      </w:r>
    </w:p>
    <w:p>
      <w:pPr>
        <w:spacing w:line="400" w:lineRule="exact"/>
        <w:ind w:firstLine="420"/>
        <w:rPr>
          <w:szCs w:val="21"/>
        </w:rPr>
      </w:pPr>
      <w:r>
        <w:rPr>
          <w:rFonts w:hint="eastAsia"/>
          <w:szCs w:val="21"/>
        </w:rPr>
        <w:t>（</w:t>
      </w:r>
      <w:r>
        <w:rPr>
          <w:szCs w:val="21"/>
        </w:rPr>
        <w:t>1</w:t>
      </w:r>
      <w:r>
        <w:rPr>
          <w:rFonts w:hint="eastAsia"/>
          <w:szCs w:val="21"/>
        </w:rPr>
        <w:t>）为招标人不具有独立法人资格的附属机构（单位）；</w:t>
      </w:r>
    </w:p>
    <w:p>
      <w:pPr>
        <w:spacing w:line="400" w:lineRule="exact"/>
        <w:ind w:firstLine="420"/>
        <w:rPr>
          <w:szCs w:val="21"/>
        </w:rPr>
      </w:pPr>
      <w:r>
        <w:rPr>
          <w:rFonts w:hint="eastAsia"/>
          <w:szCs w:val="21"/>
        </w:rPr>
        <w:t>（</w:t>
      </w:r>
      <w:r>
        <w:rPr>
          <w:szCs w:val="21"/>
        </w:rPr>
        <w:t>2</w:t>
      </w:r>
      <w:r>
        <w:rPr>
          <w:rFonts w:hint="eastAsia"/>
          <w:szCs w:val="21"/>
        </w:rPr>
        <w:t>）为本标段提供招标代理服务的；</w:t>
      </w:r>
    </w:p>
    <w:p>
      <w:pPr>
        <w:spacing w:line="400" w:lineRule="exact"/>
        <w:ind w:firstLine="420"/>
        <w:rPr>
          <w:szCs w:val="21"/>
        </w:rPr>
      </w:pPr>
      <w:r>
        <w:rPr>
          <w:rFonts w:hint="eastAsia"/>
          <w:szCs w:val="21"/>
        </w:rPr>
        <w:t>（</w:t>
      </w:r>
      <w:r>
        <w:rPr>
          <w:szCs w:val="21"/>
        </w:rPr>
        <w:t>3</w:t>
      </w:r>
      <w:r>
        <w:rPr>
          <w:rFonts w:hint="eastAsia"/>
          <w:szCs w:val="21"/>
        </w:rPr>
        <w:t>）被责令停业的；</w:t>
      </w:r>
    </w:p>
    <w:p>
      <w:pPr>
        <w:spacing w:line="400" w:lineRule="exact"/>
        <w:ind w:firstLine="420"/>
        <w:rPr>
          <w:szCs w:val="21"/>
        </w:rPr>
      </w:pPr>
      <w:r>
        <w:rPr>
          <w:rFonts w:hint="eastAsia"/>
          <w:szCs w:val="21"/>
        </w:rPr>
        <w:t>（</w:t>
      </w:r>
      <w:r>
        <w:rPr>
          <w:szCs w:val="21"/>
        </w:rPr>
        <w:t>4</w:t>
      </w:r>
      <w:r>
        <w:rPr>
          <w:rFonts w:hint="eastAsia"/>
          <w:szCs w:val="21"/>
        </w:rPr>
        <w:t>）被暂停或取消投标资格的；</w:t>
      </w:r>
    </w:p>
    <w:p>
      <w:pPr>
        <w:spacing w:line="400" w:lineRule="exact"/>
        <w:ind w:firstLine="420"/>
        <w:rPr>
          <w:szCs w:val="21"/>
        </w:rPr>
      </w:pPr>
      <w:r>
        <w:rPr>
          <w:rFonts w:hint="eastAsia"/>
          <w:szCs w:val="21"/>
        </w:rPr>
        <w:t>（</w:t>
      </w:r>
      <w:r>
        <w:rPr>
          <w:szCs w:val="21"/>
        </w:rPr>
        <w:t>5</w:t>
      </w:r>
      <w:r>
        <w:rPr>
          <w:rFonts w:hint="eastAsia"/>
          <w:szCs w:val="21"/>
        </w:rPr>
        <w:t>）财产被接管或冻结的；</w:t>
      </w:r>
    </w:p>
    <w:p>
      <w:pPr>
        <w:spacing w:line="400" w:lineRule="exact"/>
        <w:ind w:firstLine="420"/>
        <w:rPr>
          <w:szCs w:val="21"/>
        </w:rPr>
      </w:pPr>
      <w:r>
        <w:rPr>
          <w:rFonts w:hint="eastAsia"/>
          <w:szCs w:val="21"/>
        </w:rPr>
        <w:t>（</w:t>
      </w:r>
      <w:r>
        <w:rPr>
          <w:szCs w:val="21"/>
        </w:rPr>
        <w:t>6</w:t>
      </w:r>
      <w:r>
        <w:rPr>
          <w:rFonts w:hint="eastAsia"/>
          <w:szCs w:val="21"/>
        </w:rPr>
        <w:t>）在近年内有骗取中标或严重违约或重大工程质量问题的。</w:t>
      </w:r>
    </w:p>
    <w:p>
      <w:pPr>
        <w:pStyle w:val="68"/>
        <w:outlineLvl w:val="2"/>
      </w:pPr>
      <w:bookmarkStart w:id="9" w:name="_Toc46325159"/>
      <w:r>
        <w:t xml:space="preserve">1.5 </w:t>
      </w:r>
      <w:r>
        <w:rPr>
          <w:rFonts w:hint="eastAsia"/>
        </w:rPr>
        <w:t>费用承担</w:t>
      </w:r>
      <w:bookmarkEnd w:id="9"/>
    </w:p>
    <w:p>
      <w:pPr>
        <w:spacing w:line="400" w:lineRule="exact"/>
        <w:ind w:firstLine="420"/>
        <w:rPr>
          <w:szCs w:val="21"/>
        </w:rPr>
      </w:pPr>
      <w:r>
        <w:rPr>
          <w:rFonts w:hint="eastAsia"/>
          <w:szCs w:val="21"/>
        </w:rPr>
        <w:t>投标人准备和参加投标活动发生的费用自理。</w:t>
      </w:r>
    </w:p>
    <w:p>
      <w:pPr>
        <w:pStyle w:val="68"/>
        <w:outlineLvl w:val="2"/>
      </w:pPr>
      <w:bookmarkStart w:id="10" w:name="_Toc46325160"/>
      <w:r>
        <w:t xml:space="preserve">1.6 </w:t>
      </w:r>
      <w:r>
        <w:rPr>
          <w:rFonts w:hint="eastAsia"/>
        </w:rPr>
        <w:t>保密</w:t>
      </w:r>
      <w:bookmarkEnd w:id="10"/>
    </w:p>
    <w:p>
      <w:pPr>
        <w:spacing w:line="400" w:lineRule="exact"/>
        <w:ind w:firstLine="420"/>
        <w:rPr>
          <w:szCs w:val="21"/>
        </w:rPr>
      </w:pPr>
      <w:r>
        <w:rPr>
          <w:rFonts w:hint="eastAsia"/>
          <w:szCs w:val="21"/>
        </w:rPr>
        <w:t>参与招标投标活动的各方应对招标文件和投标文件中的商业和技术等秘密保密，违者应对由此造成的后果承担法律责任。</w:t>
      </w:r>
    </w:p>
    <w:p>
      <w:pPr>
        <w:pStyle w:val="68"/>
        <w:outlineLvl w:val="2"/>
      </w:pPr>
      <w:bookmarkStart w:id="11" w:name="_Toc46325161"/>
      <w:r>
        <w:t xml:space="preserve">1.7 </w:t>
      </w:r>
      <w:r>
        <w:rPr>
          <w:rFonts w:hint="eastAsia"/>
        </w:rPr>
        <w:t>语言文字</w:t>
      </w:r>
      <w:bookmarkEnd w:id="11"/>
    </w:p>
    <w:p>
      <w:pPr>
        <w:spacing w:line="400" w:lineRule="exact"/>
        <w:ind w:firstLine="420"/>
        <w:rPr>
          <w:szCs w:val="21"/>
        </w:rPr>
      </w:pPr>
      <w:r>
        <w:rPr>
          <w:rFonts w:hint="eastAsia"/>
          <w:szCs w:val="21"/>
        </w:rPr>
        <w:t>除专用术语外，与招标投标有关的语言均使用中文。必要时专用术语应附有中文注释。</w:t>
      </w:r>
    </w:p>
    <w:p>
      <w:pPr>
        <w:pStyle w:val="68"/>
        <w:outlineLvl w:val="2"/>
      </w:pPr>
      <w:bookmarkStart w:id="12" w:name="_Toc46325162"/>
      <w:r>
        <w:t xml:space="preserve">1.8 </w:t>
      </w:r>
      <w:r>
        <w:rPr>
          <w:rFonts w:hint="eastAsia"/>
        </w:rPr>
        <w:t>计量单位</w:t>
      </w:r>
      <w:bookmarkEnd w:id="12"/>
    </w:p>
    <w:p>
      <w:pPr>
        <w:spacing w:line="400" w:lineRule="exact"/>
        <w:ind w:firstLine="420"/>
        <w:rPr>
          <w:szCs w:val="21"/>
        </w:rPr>
      </w:pPr>
      <w:r>
        <w:rPr>
          <w:rFonts w:hint="eastAsia"/>
          <w:szCs w:val="21"/>
        </w:rPr>
        <w:t>所有计量均采用中华人民共和国法定计量单位。</w:t>
      </w:r>
    </w:p>
    <w:p>
      <w:pPr>
        <w:pStyle w:val="68"/>
        <w:outlineLvl w:val="2"/>
      </w:pPr>
      <w:bookmarkStart w:id="13" w:name="_Toc46325163"/>
      <w:r>
        <w:t xml:space="preserve">1.9 </w:t>
      </w:r>
      <w:r>
        <w:rPr>
          <w:rFonts w:hint="eastAsia"/>
        </w:rPr>
        <w:t>踏勘现场</w:t>
      </w:r>
      <w:bookmarkEnd w:id="13"/>
    </w:p>
    <w:p>
      <w:pPr>
        <w:spacing w:line="400" w:lineRule="exact"/>
        <w:ind w:firstLine="420"/>
        <w:rPr>
          <w:szCs w:val="21"/>
        </w:rPr>
      </w:pPr>
      <w:r>
        <w:rPr>
          <w:szCs w:val="21"/>
        </w:rPr>
        <w:t xml:space="preserve">1.9.1  </w:t>
      </w:r>
      <w:r>
        <w:rPr>
          <w:rFonts w:hint="eastAsia"/>
          <w:szCs w:val="21"/>
        </w:rPr>
        <w:t>投标人须知前附表规定组织踏勘现场的，招标人按投标人须知前附表规定的时间、</w:t>
      </w:r>
      <w:r>
        <w:rPr>
          <w:szCs w:val="21"/>
        </w:rPr>
        <w:t xml:space="preserve"> </w:t>
      </w:r>
      <w:r>
        <w:rPr>
          <w:rFonts w:hint="eastAsia"/>
          <w:szCs w:val="21"/>
        </w:rPr>
        <w:t>地点组织投标人踏勘项目现场。</w:t>
      </w:r>
    </w:p>
    <w:p>
      <w:pPr>
        <w:spacing w:line="400" w:lineRule="exact"/>
        <w:ind w:firstLine="420"/>
        <w:rPr>
          <w:szCs w:val="21"/>
        </w:rPr>
      </w:pPr>
      <w:r>
        <w:rPr>
          <w:szCs w:val="21"/>
        </w:rPr>
        <w:t xml:space="preserve">1.9.2  </w:t>
      </w:r>
      <w:r>
        <w:rPr>
          <w:rFonts w:hint="eastAsia"/>
          <w:szCs w:val="21"/>
        </w:rPr>
        <w:t>投标人踏勘现场发生的费用自理。</w:t>
      </w:r>
    </w:p>
    <w:p>
      <w:pPr>
        <w:spacing w:line="400" w:lineRule="exact"/>
        <w:ind w:firstLine="420"/>
        <w:rPr>
          <w:szCs w:val="21"/>
        </w:rPr>
      </w:pPr>
      <w:r>
        <w:rPr>
          <w:szCs w:val="21"/>
        </w:rPr>
        <w:t xml:space="preserve">1.9.3  </w:t>
      </w:r>
      <w:r>
        <w:rPr>
          <w:rFonts w:hint="eastAsia"/>
          <w:szCs w:val="21"/>
        </w:rPr>
        <w:t>除招标人的原因外，投标人自行负责在踏勘现场中所发生的人员伤亡和财产损失。</w:t>
      </w:r>
    </w:p>
    <w:p>
      <w:pPr>
        <w:spacing w:line="400" w:lineRule="exact"/>
        <w:ind w:firstLine="420"/>
        <w:rPr>
          <w:szCs w:val="21"/>
        </w:rPr>
      </w:pPr>
      <w:r>
        <w:rPr>
          <w:szCs w:val="21"/>
        </w:rPr>
        <w:t xml:space="preserve">1.9.4  </w:t>
      </w:r>
      <w:r>
        <w:rPr>
          <w:rFonts w:hint="eastAsia"/>
          <w:szCs w:val="21"/>
        </w:rPr>
        <w:t>招标人在踏勘现场中介绍的工程场地和相关的周边环境情况，供投标人在编制投标文件时参考，招标人不对投标人据此作出的判断和决策负责。</w:t>
      </w:r>
    </w:p>
    <w:p>
      <w:pPr>
        <w:spacing w:line="400" w:lineRule="exact"/>
        <w:ind w:firstLine="420"/>
        <w:rPr>
          <w:szCs w:val="21"/>
        </w:rPr>
      </w:pPr>
      <w:r>
        <w:rPr>
          <w:szCs w:val="21"/>
        </w:rPr>
        <w:t xml:space="preserve">1.9.5 </w:t>
      </w:r>
      <w:r>
        <w:rPr>
          <w:rFonts w:hint="eastAsia"/>
          <w:szCs w:val="21"/>
        </w:rPr>
        <w:t>招标人提供的本项目的相关参考资料，并不构成合同文件的组成部分，投标人应</w:t>
      </w:r>
      <w:r>
        <w:rPr>
          <w:szCs w:val="21"/>
        </w:rPr>
        <w:t xml:space="preserve"> </w:t>
      </w:r>
      <w:r>
        <w:rPr>
          <w:rFonts w:hint="eastAsia"/>
          <w:szCs w:val="21"/>
        </w:rPr>
        <w:t>对上述资料的解释、推论和应用负责，招标人不对投标人据此作出的判断和决策承担任何责任。</w:t>
      </w:r>
    </w:p>
    <w:p>
      <w:pPr>
        <w:pStyle w:val="68"/>
        <w:outlineLvl w:val="2"/>
      </w:pPr>
      <w:bookmarkStart w:id="14" w:name="_Toc46325164"/>
      <w:r>
        <w:t xml:space="preserve">1.10 </w:t>
      </w:r>
      <w:r>
        <w:rPr>
          <w:rFonts w:hint="eastAsia"/>
        </w:rPr>
        <w:t>投标预备会</w:t>
      </w:r>
      <w:bookmarkEnd w:id="14"/>
    </w:p>
    <w:p>
      <w:pPr>
        <w:spacing w:line="400" w:lineRule="exact"/>
        <w:ind w:firstLine="420"/>
        <w:rPr>
          <w:szCs w:val="21"/>
        </w:rPr>
      </w:pPr>
      <w:r>
        <w:rPr>
          <w:szCs w:val="21"/>
        </w:rPr>
        <w:t xml:space="preserve">1.10.1  </w:t>
      </w:r>
      <w:r>
        <w:rPr>
          <w:rFonts w:hint="eastAsia"/>
          <w:szCs w:val="21"/>
        </w:rPr>
        <w:t>本项目不召开投标预备会。</w:t>
      </w:r>
    </w:p>
    <w:p>
      <w:pPr>
        <w:pStyle w:val="68"/>
        <w:outlineLvl w:val="2"/>
      </w:pPr>
      <w:bookmarkStart w:id="15" w:name="_Toc46325165"/>
      <w:r>
        <w:t xml:space="preserve">1.11 </w:t>
      </w:r>
      <w:r>
        <w:rPr>
          <w:rFonts w:hint="eastAsia"/>
        </w:rPr>
        <w:t>分包</w:t>
      </w:r>
      <w:bookmarkEnd w:id="15"/>
    </w:p>
    <w:p>
      <w:pPr>
        <w:spacing w:line="400" w:lineRule="exact"/>
        <w:ind w:firstLine="420"/>
        <w:rPr>
          <w:szCs w:val="21"/>
        </w:rPr>
      </w:pPr>
      <w:r>
        <w:rPr>
          <w:rFonts w:hint="eastAsia"/>
          <w:szCs w:val="21"/>
        </w:rPr>
        <w:t>本工程不接受任何形式的转包、分包。</w:t>
      </w:r>
    </w:p>
    <w:p>
      <w:pPr>
        <w:pStyle w:val="68"/>
        <w:outlineLvl w:val="2"/>
      </w:pPr>
      <w:bookmarkStart w:id="16" w:name="_Toc46325166"/>
      <w:r>
        <w:t xml:space="preserve">1.12 </w:t>
      </w:r>
      <w:r>
        <w:rPr>
          <w:rFonts w:hint="eastAsia"/>
        </w:rPr>
        <w:t>偏离</w:t>
      </w:r>
      <w:bookmarkEnd w:id="16"/>
    </w:p>
    <w:p>
      <w:pPr>
        <w:spacing w:line="400" w:lineRule="exact"/>
        <w:ind w:firstLine="420"/>
        <w:rPr>
          <w:szCs w:val="21"/>
        </w:rPr>
      </w:pPr>
      <w:r>
        <w:rPr>
          <w:rFonts w:hint="eastAsia"/>
          <w:szCs w:val="21"/>
        </w:rPr>
        <w:t>投标人须知前附表允许投标文件偏离招标文件某些要求的，偏离应当符合招标文件规定的偏离范围和幅度。</w:t>
      </w:r>
    </w:p>
    <w:p>
      <w:pPr>
        <w:pStyle w:val="140"/>
        <w:outlineLvl w:val="1"/>
      </w:pPr>
      <w:bookmarkStart w:id="17" w:name="_Toc46325167"/>
      <w:r>
        <w:t xml:space="preserve">2.  </w:t>
      </w:r>
      <w:r>
        <w:rPr>
          <w:rFonts w:hint="eastAsia"/>
        </w:rPr>
        <w:t>招标文件</w:t>
      </w:r>
      <w:bookmarkEnd w:id="17"/>
    </w:p>
    <w:p>
      <w:pPr>
        <w:pStyle w:val="68"/>
        <w:outlineLvl w:val="2"/>
      </w:pPr>
      <w:bookmarkStart w:id="18" w:name="_Toc46325168"/>
      <w:r>
        <w:t xml:space="preserve">2.1 </w:t>
      </w:r>
      <w:r>
        <w:rPr>
          <w:rFonts w:hint="eastAsia"/>
        </w:rPr>
        <w:t>招标文件的组成</w:t>
      </w:r>
      <w:bookmarkEnd w:id="18"/>
    </w:p>
    <w:p>
      <w:pPr>
        <w:spacing w:line="400" w:lineRule="exact"/>
        <w:ind w:firstLine="420"/>
        <w:rPr>
          <w:szCs w:val="21"/>
        </w:rPr>
      </w:pPr>
      <w:r>
        <w:rPr>
          <w:rFonts w:hint="eastAsia"/>
          <w:szCs w:val="21"/>
        </w:rPr>
        <w:t>本招标文件包括：</w:t>
      </w:r>
    </w:p>
    <w:p>
      <w:pPr>
        <w:spacing w:line="400" w:lineRule="exact"/>
        <w:ind w:firstLine="420"/>
        <w:rPr>
          <w:szCs w:val="21"/>
        </w:rPr>
      </w:pPr>
      <w:r>
        <w:rPr>
          <w:rFonts w:hint="eastAsia"/>
          <w:szCs w:val="21"/>
        </w:rPr>
        <w:t>（</w:t>
      </w:r>
      <w:r>
        <w:rPr>
          <w:szCs w:val="21"/>
        </w:rPr>
        <w:t>1</w:t>
      </w:r>
      <w:r>
        <w:rPr>
          <w:rFonts w:hint="eastAsia"/>
          <w:szCs w:val="21"/>
        </w:rPr>
        <w:t>）招标公告；</w:t>
      </w:r>
    </w:p>
    <w:p>
      <w:pPr>
        <w:spacing w:line="400" w:lineRule="exact"/>
        <w:ind w:firstLine="420"/>
        <w:rPr>
          <w:szCs w:val="21"/>
        </w:rPr>
      </w:pPr>
      <w:r>
        <w:rPr>
          <w:rFonts w:hint="eastAsia"/>
          <w:szCs w:val="21"/>
        </w:rPr>
        <w:t>（</w:t>
      </w:r>
      <w:r>
        <w:rPr>
          <w:szCs w:val="21"/>
        </w:rPr>
        <w:t>2</w:t>
      </w:r>
      <w:r>
        <w:rPr>
          <w:rFonts w:hint="eastAsia"/>
          <w:szCs w:val="21"/>
        </w:rPr>
        <w:t>）投标人须知；</w:t>
      </w:r>
    </w:p>
    <w:p>
      <w:pPr>
        <w:spacing w:line="400" w:lineRule="exact"/>
        <w:ind w:firstLine="420"/>
        <w:rPr>
          <w:szCs w:val="21"/>
        </w:rPr>
      </w:pPr>
      <w:r>
        <w:rPr>
          <w:rFonts w:hint="eastAsia"/>
          <w:szCs w:val="21"/>
        </w:rPr>
        <w:t>（</w:t>
      </w:r>
      <w:r>
        <w:rPr>
          <w:szCs w:val="21"/>
        </w:rPr>
        <w:t>3</w:t>
      </w:r>
      <w:r>
        <w:rPr>
          <w:rFonts w:hint="eastAsia"/>
          <w:szCs w:val="21"/>
        </w:rPr>
        <w:t>）评标办法；</w:t>
      </w:r>
    </w:p>
    <w:p>
      <w:pPr>
        <w:spacing w:line="400" w:lineRule="exact"/>
        <w:ind w:firstLine="420"/>
        <w:rPr>
          <w:szCs w:val="21"/>
        </w:rPr>
      </w:pPr>
      <w:r>
        <w:rPr>
          <w:rFonts w:hint="eastAsia"/>
          <w:szCs w:val="21"/>
        </w:rPr>
        <w:t>（</w:t>
      </w:r>
      <w:r>
        <w:rPr>
          <w:szCs w:val="21"/>
        </w:rPr>
        <w:t>4</w:t>
      </w:r>
      <w:r>
        <w:rPr>
          <w:rFonts w:hint="eastAsia"/>
          <w:szCs w:val="21"/>
        </w:rPr>
        <w:t>）合同条款及格式；</w:t>
      </w:r>
    </w:p>
    <w:p>
      <w:pPr>
        <w:spacing w:line="400" w:lineRule="exact"/>
        <w:ind w:firstLine="420"/>
        <w:rPr>
          <w:szCs w:val="21"/>
        </w:rPr>
      </w:pPr>
      <w:r>
        <w:rPr>
          <w:rFonts w:hint="eastAsia"/>
          <w:szCs w:val="21"/>
        </w:rPr>
        <w:t>（</w:t>
      </w:r>
      <w:r>
        <w:rPr>
          <w:szCs w:val="21"/>
        </w:rPr>
        <w:t>5</w:t>
      </w:r>
      <w:r>
        <w:rPr>
          <w:rFonts w:hint="eastAsia"/>
          <w:szCs w:val="21"/>
        </w:rPr>
        <w:t>）投标文件格式；</w:t>
      </w:r>
    </w:p>
    <w:p>
      <w:pPr>
        <w:spacing w:line="400" w:lineRule="exact"/>
        <w:ind w:firstLine="420"/>
        <w:rPr>
          <w:szCs w:val="21"/>
        </w:rPr>
      </w:pPr>
      <w:r>
        <w:rPr>
          <w:rFonts w:hint="eastAsia"/>
          <w:szCs w:val="21"/>
        </w:rPr>
        <w:t>根据本章第</w:t>
      </w:r>
      <w:r>
        <w:rPr>
          <w:szCs w:val="21"/>
        </w:rPr>
        <w:t>1.10</w:t>
      </w:r>
      <w:r>
        <w:rPr>
          <w:rFonts w:hint="eastAsia"/>
          <w:szCs w:val="21"/>
        </w:rPr>
        <w:t>款、第</w:t>
      </w:r>
      <w:r>
        <w:rPr>
          <w:szCs w:val="21"/>
        </w:rPr>
        <w:t>2.2</w:t>
      </w:r>
      <w:r>
        <w:rPr>
          <w:rFonts w:hint="eastAsia"/>
          <w:szCs w:val="21"/>
        </w:rPr>
        <w:t>款和第</w:t>
      </w:r>
      <w:r>
        <w:rPr>
          <w:szCs w:val="21"/>
        </w:rPr>
        <w:t>2.3</w:t>
      </w:r>
      <w:r>
        <w:rPr>
          <w:rFonts w:hint="eastAsia"/>
          <w:szCs w:val="21"/>
        </w:rPr>
        <w:t>款对招标文件所作的澄清、修改，构成招标文件的组成部分。</w:t>
      </w:r>
    </w:p>
    <w:p>
      <w:pPr>
        <w:spacing w:line="400" w:lineRule="exact"/>
        <w:ind w:firstLine="420"/>
        <w:rPr>
          <w:szCs w:val="21"/>
        </w:rPr>
      </w:pPr>
      <w:r>
        <w:rPr>
          <w:rFonts w:hint="eastAsia"/>
          <w:szCs w:val="21"/>
        </w:rPr>
        <w:t>招标文件、招标文件的澄清或修改等在同一内容的表述上不一致时，以最后发出的书面文件为准。</w:t>
      </w:r>
    </w:p>
    <w:p>
      <w:pPr>
        <w:pStyle w:val="68"/>
        <w:outlineLvl w:val="2"/>
      </w:pPr>
      <w:bookmarkStart w:id="19" w:name="_Toc46325169"/>
      <w:r>
        <w:t xml:space="preserve">2.2 </w:t>
      </w:r>
      <w:r>
        <w:rPr>
          <w:rFonts w:hint="eastAsia"/>
        </w:rPr>
        <w:t>招标文件的澄清</w:t>
      </w:r>
      <w:bookmarkEnd w:id="19"/>
    </w:p>
    <w:p>
      <w:pPr>
        <w:spacing w:line="400" w:lineRule="exact"/>
        <w:ind w:firstLine="420"/>
        <w:rPr>
          <w:szCs w:val="21"/>
        </w:rPr>
      </w:pPr>
      <w:r>
        <w:rPr>
          <w:szCs w:val="21"/>
        </w:rPr>
        <w:t xml:space="preserve">2.2.1 </w:t>
      </w:r>
      <w:r>
        <w:rPr>
          <w:rFonts w:hint="eastAsia"/>
          <w:szCs w:val="21"/>
        </w:rPr>
        <w:t>投标人应仔细阅读和检查招标文件的全部内容。如发现缺页或附件不全，应及时向招标人提出，以便补齐。如有疑问，应在投标人须知前附表规定的时间前以书面形式（传真），要求招标人对招标文件予以澄清。招标人电子邮箱的地址见前附表。</w:t>
      </w:r>
    </w:p>
    <w:p>
      <w:pPr>
        <w:pStyle w:val="68"/>
        <w:outlineLvl w:val="2"/>
      </w:pPr>
      <w:bookmarkStart w:id="20" w:name="_Toc46325170"/>
      <w:r>
        <w:t xml:space="preserve">2.3 </w:t>
      </w:r>
      <w:r>
        <w:rPr>
          <w:rFonts w:hint="eastAsia"/>
        </w:rPr>
        <w:t>招标文件的修改</w:t>
      </w:r>
      <w:bookmarkEnd w:id="20"/>
    </w:p>
    <w:p>
      <w:pPr>
        <w:spacing w:line="400" w:lineRule="exact"/>
        <w:ind w:firstLine="420"/>
        <w:rPr>
          <w:szCs w:val="21"/>
        </w:rPr>
      </w:pPr>
      <w:r>
        <w:rPr>
          <w:szCs w:val="21"/>
        </w:rPr>
        <w:t xml:space="preserve">2.3.1 </w:t>
      </w:r>
      <w:r>
        <w:rPr>
          <w:rFonts w:hint="eastAsia"/>
          <w:szCs w:val="21"/>
        </w:rPr>
        <w:t>在投标截止时间</w:t>
      </w:r>
      <w:r>
        <w:rPr>
          <w:szCs w:val="21"/>
        </w:rPr>
        <w:t>5</w:t>
      </w:r>
      <w:r>
        <w:rPr>
          <w:rFonts w:hint="eastAsia"/>
          <w:szCs w:val="21"/>
        </w:rPr>
        <w:t>天前，招标人可以书面形式修改招标文件，并在网站公布，投标人自行查看。</w:t>
      </w:r>
    </w:p>
    <w:p>
      <w:pPr>
        <w:pStyle w:val="140"/>
        <w:outlineLvl w:val="1"/>
      </w:pPr>
      <w:bookmarkStart w:id="21" w:name="_Toc46325171"/>
      <w:r>
        <w:t xml:space="preserve">3.  </w:t>
      </w:r>
      <w:r>
        <w:rPr>
          <w:rFonts w:hint="eastAsia"/>
        </w:rPr>
        <w:t>投标文件</w:t>
      </w:r>
      <w:bookmarkEnd w:id="21"/>
    </w:p>
    <w:p>
      <w:pPr>
        <w:pStyle w:val="68"/>
        <w:outlineLvl w:val="2"/>
      </w:pPr>
      <w:bookmarkStart w:id="22" w:name="_Toc46325172"/>
      <w:r>
        <w:t xml:space="preserve">3.1 </w:t>
      </w:r>
      <w:r>
        <w:rPr>
          <w:rFonts w:hint="eastAsia"/>
        </w:rPr>
        <w:t>投标文件的组成</w:t>
      </w:r>
      <w:bookmarkEnd w:id="22"/>
    </w:p>
    <w:p>
      <w:pPr>
        <w:spacing w:line="400" w:lineRule="exact"/>
        <w:ind w:firstLine="420"/>
        <w:rPr>
          <w:szCs w:val="21"/>
        </w:rPr>
      </w:pPr>
      <w:r>
        <w:rPr>
          <w:szCs w:val="21"/>
        </w:rPr>
        <w:t xml:space="preserve">3.1.1  </w:t>
      </w:r>
      <w:r>
        <w:rPr>
          <w:rFonts w:hint="eastAsia"/>
          <w:szCs w:val="21"/>
        </w:rPr>
        <w:t>按投标文件格式部分编制。</w:t>
      </w:r>
    </w:p>
    <w:p>
      <w:pPr>
        <w:spacing w:line="400" w:lineRule="exact"/>
        <w:ind w:firstLine="420"/>
        <w:rPr>
          <w:szCs w:val="21"/>
        </w:rPr>
      </w:pPr>
      <w:r>
        <w:rPr>
          <w:szCs w:val="21"/>
        </w:rPr>
        <w:t xml:space="preserve">3.1.2  </w:t>
      </w:r>
      <w:r>
        <w:rPr>
          <w:rFonts w:hint="eastAsia"/>
          <w:szCs w:val="21"/>
        </w:rPr>
        <w:t>投标文件的编制要求详见投标须知前附表。</w:t>
      </w:r>
    </w:p>
    <w:p>
      <w:pPr>
        <w:pStyle w:val="68"/>
        <w:outlineLvl w:val="2"/>
      </w:pPr>
      <w:bookmarkStart w:id="23" w:name="_Toc46325173"/>
      <w:r>
        <w:t xml:space="preserve">3.2 </w:t>
      </w:r>
      <w:r>
        <w:rPr>
          <w:rFonts w:hint="eastAsia"/>
        </w:rPr>
        <w:t>投标报价</w:t>
      </w:r>
      <w:bookmarkEnd w:id="23"/>
    </w:p>
    <w:p>
      <w:pPr>
        <w:spacing w:line="400" w:lineRule="exact"/>
        <w:ind w:firstLine="420"/>
        <w:rPr>
          <w:rFonts w:ascii="宋体" w:hAnsi="宋体"/>
          <w:szCs w:val="21"/>
        </w:rPr>
      </w:pPr>
      <w:r>
        <w:rPr>
          <w:rFonts w:ascii="宋体" w:hAnsi="宋体"/>
          <w:szCs w:val="21"/>
        </w:rPr>
        <w:t>3.2.1</w:t>
      </w:r>
      <w:r>
        <w:t>以国家计委关于印发《招标代理服务收费管理暂行办法》的通知（计价格[2002]1980号）和</w:t>
      </w:r>
      <w:r>
        <w:rPr>
          <w:rFonts w:hint="eastAsia"/>
        </w:rPr>
        <w:t>国家发展改革委《关于降低部分建设项目收费标准规范收费行为等有关问题的通知》（发改价格〔2011〕534号）</w:t>
      </w:r>
      <w:r>
        <w:t>规定的招标代理服务费率为基础，</w:t>
      </w:r>
      <w:r>
        <w:rPr>
          <w:rFonts w:hint="eastAsia"/>
        </w:rPr>
        <w:t>按</w:t>
      </w:r>
      <w:r>
        <w:t>比率</w:t>
      </w:r>
      <w:r>
        <w:rPr>
          <w:rFonts w:hint="eastAsia"/>
        </w:rPr>
        <w:t>（%）</w:t>
      </w:r>
      <w:r>
        <w:t>进行费率报价</w:t>
      </w:r>
      <w:r>
        <w:rPr>
          <w:rFonts w:hint="eastAsia"/>
        </w:rPr>
        <w:t>。</w:t>
      </w:r>
      <w:r>
        <w:rPr>
          <w:rFonts w:hint="eastAsia" w:ascii="宋体" w:hAnsi="宋体"/>
          <w:szCs w:val="21"/>
        </w:rPr>
        <w:t>该报价为投标人完成招标范围内所有内容的报价，投标人不得以任何理由予以重复，除非招标人对招标文件进行修改。</w:t>
      </w:r>
    </w:p>
    <w:p>
      <w:pPr>
        <w:spacing w:line="400" w:lineRule="exact"/>
        <w:ind w:firstLine="420"/>
        <w:rPr>
          <w:rFonts w:ascii="宋体" w:hAnsi="宋体"/>
          <w:szCs w:val="21"/>
        </w:rPr>
      </w:pPr>
      <w:r>
        <w:rPr>
          <w:rFonts w:hint="eastAsia" w:ascii="宋体" w:hAnsi="宋体"/>
          <w:szCs w:val="21"/>
        </w:rPr>
        <w:t>投标报价包含：</w:t>
      </w:r>
    </w:p>
    <w:p>
      <w:pPr>
        <w:spacing w:line="400" w:lineRule="exact"/>
        <w:ind w:firstLine="420"/>
      </w:pPr>
      <w:r>
        <w:t>（1）招标文件的编制、审查、报批、印刷、发</w:t>
      </w:r>
      <w:r>
        <w:rPr>
          <w:rFonts w:hint="eastAsia"/>
        </w:rPr>
        <w:t>放</w:t>
      </w:r>
      <w:r>
        <w:t>的费用；</w:t>
      </w:r>
    </w:p>
    <w:p>
      <w:pPr>
        <w:spacing w:line="400" w:lineRule="exact"/>
        <w:ind w:firstLine="420"/>
      </w:pPr>
      <w:r>
        <w:t>（2）会务费用，包括会场费用</w:t>
      </w:r>
      <w:r>
        <w:rPr>
          <w:rFonts w:hint="eastAsia"/>
        </w:rPr>
        <w:t>（交易中心收取的场地费除外，该部分按交易中心规定执行）</w:t>
      </w:r>
      <w:r>
        <w:t>、专家和主管部门的交通食宿和咨询费；</w:t>
      </w:r>
    </w:p>
    <w:p>
      <w:pPr>
        <w:spacing w:line="400" w:lineRule="exact"/>
        <w:ind w:firstLine="420"/>
        <w:rPr>
          <w:rFonts w:ascii="宋体"/>
          <w:szCs w:val="21"/>
        </w:rPr>
      </w:pPr>
      <w:r>
        <w:t>（3）招标代理单位的人员费用、工杂费、差旅费，与本工作相关的管理费、利润和税金。</w:t>
      </w:r>
    </w:p>
    <w:p>
      <w:pPr>
        <w:spacing w:line="400" w:lineRule="exact"/>
        <w:ind w:firstLine="420"/>
        <w:rPr>
          <w:rFonts w:ascii="宋体"/>
          <w:szCs w:val="21"/>
        </w:rPr>
      </w:pPr>
      <w:r>
        <w:rPr>
          <w:rFonts w:ascii="宋体" w:hAnsi="宋体"/>
          <w:szCs w:val="21"/>
        </w:rPr>
        <w:t>3.2.2</w:t>
      </w:r>
      <w:r>
        <w:rPr>
          <w:rFonts w:hint="eastAsia" w:ascii="宋体" w:hAnsi="宋体"/>
          <w:szCs w:val="21"/>
        </w:rPr>
        <w:t>招标人和中标人应按中标的</w:t>
      </w:r>
      <w:r>
        <w:t>比率</w:t>
      </w:r>
      <w:r>
        <w:rPr>
          <w:rFonts w:hint="eastAsia" w:ascii="宋体" w:hAnsi="宋体"/>
          <w:szCs w:val="21"/>
        </w:rPr>
        <w:t>签订合同，不得就收费等实质性内容进行谈判。</w:t>
      </w:r>
    </w:p>
    <w:p>
      <w:pPr>
        <w:pStyle w:val="68"/>
        <w:outlineLvl w:val="2"/>
      </w:pPr>
      <w:bookmarkStart w:id="24" w:name="_Toc46325174"/>
      <w:r>
        <w:t xml:space="preserve">3.3 </w:t>
      </w:r>
      <w:r>
        <w:rPr>
          <w:rFonts w:hint="eastAsia"/>
        </w:rPr>
        <w:t>投标有效期</w:t>
      </w:r>
      <w:bookmarkEnd w:id="24"/>
    </w:p>
    <w:p>
      <w:pPr>
        <w:spacing w:line="400" w:lineRule="exact"/>
        <w:ind w:firstLine="420"/>
        <w:rPr>
          <w:szCs w:val="21"/>
        </w:rPr>
      </w:pPr>
      <w:r>
        <w:rPr>
          <w:szCs w:val="21"/>
        </w:rPr>
        <w:t xml:space="preserve">3.3.1 </w:t>
      </w:r>
      <w:r>
        <w:rPr>
          <w:rFonts w:hint="eastAsia"/>
          <w:szCs w:val="21"/>
        </w:rPr>
        <w:t>在投标人须知前附表规定的投标有效期内，投标人不得要求撤销或修改其投标文件。</w:t>
      </w:r>
    </w:p>
    <w:p>
      <w:pPr>
        <w:spacing w:line="400" w:lineRule="exact"/>
        <w:ind w:firstLine="420"/>
        <w:rPr>
          <w:szCs w:val="21"/>
        </w:rPr>
      </w:pPr>
      <w:r>
        <w:rPr>
          <w:szCs w:val="21"/>
        </w:rPr>
        <w:t xml:space="preserve">3.3.2 </w:t>
      </w:r>
      <w:r>
        <w:rPr>
          <w:rFonts w:hint="eastAsia"/>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68"/>
        <w:outlineLvl w:val="2"/>
      </w:pPr>
      <w:bookmarkStart w:id="25" w:name="_Toc46325175"/>
      <w:r>
        <w:t xml:space="preserve">3.4 </w:t>
      </w:r>
      <w:r>
        <w:rPr>
          <w:rFonts w:hint="eastAsia"/>
        </w:rPr>
        <w:t>投标保证金</w:t>
      </w:r>
      <w:bookmarkEnd w:id="25"/>
    </w:p>
    <w:p>
      <w:pPr>
        <w:spacing w:line="400" w:lineRule="exact"/>
        <w:ind w:firstLine="420"/>
        <w:rPr>
          <w:szCs w:val="21"/>
        </w:rPr>
      </w:pPr>
      <w:r>
        <w:rPr>
          <w:szCs w:val="21"/>
        </w:rPr>
        <w:t>3.4.1</w:t>
      </w:r>
      <w:r>
        <w:rPr>
          <w:rFonts w:hint="eastAsia"/>
          <w:szCs w:val="21"/>
        </w:rPr>
        <w:t>本项目无须缴纳投标保证金。</w:t>
      </w:r>
    </w:p>
    <w:p>
      <w:pPr>
        <w:pStyle w:val="68"/>
        <w:outlineLvl w:val="2"/>
      </w:pPr>
      <w:bookmarkStart w:id="26" w:name="_Toc46325176"/>
      <w:r>
        <w:t xml:space="preserve">3.5 </w:t>
      </w:r>
      <w:r>
        <w:rPr>
          <w:rFonts w:hint="eastAsia"/>
        </w:rPr>
        <w:t>资格审查资料</w:t>
      </w:r>
      <w:bookmarkEnd w:id="26"/>
    </w:p>
    <w:p>
      <w:pPr>
        <w:spacing w:line="400" w:lineRule="exact"/>
        <w:ind w:firstLine="420"/>
        <w:rPr>
          <w:szCs w:val="21"/>
        </w:rPr>
      </w:pPr>
      <w:r>
        <w:rPr>
          <w:rFonts w:hint="eastAsia"/>
          <w:szCs w:val="21"/>
        </w:rPr>
        <w:t>按投标人资格条件准备相应材料。</w:t>
      </w:r>
    </w:p>
    <w:p>
      <w:pPr>
        <w:pStyle w:val="68"/>
        <w:outlineLvl w:val="2"/>
      </w:pPr>
      <w:bookmarkStart w:id="27" w:name="_Toc46325177"/>
      <w:r>
        <w:t xml:space="preserve">3.6 </w:t>
      </w:r>
      <w:r>
        <w:rPr>
          <w:rFonts w:hint="eastAsia"/>
        </w:rPr>
        <w:t>备选投标方案</w:t>
      </w:r>
      <w:bookmarkEnd w:id="27"/>
    </w:p>
    <w:p>
      <w:pPr>
        <w:spacing w:line="400" w:lineRule="exact"/>
        <w:ind w:firstLine="420"/>
        <w:rPr>
          <w:szCs w:val="21"/>
        </w:rPr>
      </w:pPr>
      <w:r>
        <w:rPr>
          <w:rFonts w:hint="eastAsia"/>
          <w:szCs w:val="21"/>
        </w:rPr>
        <w:t>投标人不得递交备选投标方案。</w:t>
      </w:r>
    </w:p>
    <w:p>
      <w:pPr>
        <w:pStyle w:val="68"/>
        <w:outlineLvl w:val="2"/>
      </w:pPr>
      <w:bookmarkStart w:id="28" w:name="_Toc46325178"/>
      <w:r>
        <w:t xml:space="preserve">3.7 </w:t>
      </w:r>
      <w:r>
        <w:rPr>
          <w:rFonts w:hint="eastAsia"/>
        </w:rPr>
        <w:t>投标文件的编制</w:t>
      </w:r>
      <w:bookmarkEnd w:id="28"/>
    </w:p>
    <w:p>
      <w:pPr>
        <w:spacing w:line="400" w:lineRule="exact"/>
        <w:ind w:firstLine="420"/>
        <w:rPr>
          <w:szCs w:val="21"/>
        </w:rPr>
      </w:pPr>
      <w:r>
        <w:rPr>
          <w:szCs w:val="21"/>
        </w:rPr>
        <w:t xml:space="preserve">3.7.1 </w:t>
      </w:r>
      <w:r>
        <w:rPr>
          <w:rFonts w:hint="eastAsia"/>
          <w:szCs w:val="21"/>
        </w:rPr>
        <w:t>投标文件应按第五章“投标文件格式”进行编写，如有必要，可以增加附页，作为投标文件的组成部分。其中，投标函附录在满足招标文件实质性要求的基础上，可以提出比招标文件要求更有利于招标人的承诺。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20"/>
        <w:rPr>
          <w:szCs w:val="21"/>
        </w:rPr>
      </w:pPr>
      <w:r>
        <w:rPr>
          <w:szCs w:val="21"/>
        </w:rPr>
        <w:t xml:space="preserve">3.7.2 </w:t>
      </w:r>
      <w:r>
        <w:rPr>
          <w:rFonts w:hint="eastAsia"/>
          <w:szCs w:val="21"/>
        </w:rPr>
        <w:t>投标文件应当对招标文件有关工期、投标有效期、质量要求、技术标准和要求、招标范围等实质性内容作出响应。</w:t>
      </w:r>
    </w:p>
    <w:p>
      <w:pPr>
        <w:spacing w:line="400" w:lineRule="exact"/>
        <w:ind w:firstLine="420"/>
        <w:rPr>
          <w:szCs w:val="21"/>
        </w:rPr>
      </w:pPr>
      <w:r>
        <w:rPr>
          <w:szCs w:val="21"/>
        </w:rPr>
        <w:t xml:space="preserve">3.7.3  </w:t>
      </w:r>
      <w:r>
        <w:rPr>
          <w:rFonts w:hint="eastAsia"/>
          <w:szCs w:val="21"/>
        </w:rPr>
        <w:t>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w:t>
      </w:r>
      <w:r>
        <w:rPr>
          <w:szCs w:val="21"/>
        </w:rPr>
        <w:t xml:space="preserve"> </w:t>
      </w:r>
      <w:r>
        <w:rPr>
          <w:rFonts w:hint="eastAsia"/>
          <w:szCs w:val="21"/>
        </w:rPr>
        <w:t>人的法定代表人或其授权的代理人签字确认。签字或盖章的具体要求见投标人须知前附表。</w:t>
      </w:r>
    </w:p>
    <w:p>
      <w:pPr>
        <w:spacing w:line="400" w:lineRule="exact"/>
        <w:ind w:firstLine="420"/>
        <w:rPr>
          <w:szCs w:val="21"/>
        </w:rPr>
      </w:pPr>
      <w:r>
        <w:rPr>
          <w:szCs w:val="21"/>
        </w:rPr>
        <w:t xml:space="preserve">3.7.4  </w:t>
      </w:r>
      <w:r>
        <w:rPr>
          <w:rFonts w:hint="eastAsia"/>
          <w:szCs w:val="21"/>
        </w:rPr>
        <w:t>投标文件正本一份，副本份数见投标人须知前附表。正本和副本的封面上应清楚地标记“正本”或“副本”的字样。当副本和正本不一致时，以正本为准。投标人还应提供投标文</w:t>
      </w:r>
      <w:r>
        <w:rPr>
          <w:szCs w:val="21"/>
        </w:rPr>
        <w:t xml:space="preserve"> </w:t>
      </w:r>
      <w:r>
        <w:rPr>
          <w:rFonts w:hint="eastAsia"/>
          <w:szCs w:val="21"/>
        </w:rPr>
        <w:t>件的电子版文件，电子版文件的份数及要求见投标人须知前附表。</w:t>
      </w:r>
    </w:p>
    <w:p>
      <w:pPr>
        <w:spacing w:line="400" w:lineRule="exact"/>
        <w:ind w:firstLine="420"/>
        <w:rPr>
          <w:szCs w:val="21"/>
        </w:rPr>
      </w:pPr>
      <w:r>
        <w:rPr>
          <w:szCs w:val="21"/>
        </w:rPr>
        <w:t xml:space="preserve">3.7.5  </w:t>
      </w:r>
      <w:r>
        <w:rPr>
          <w:rFonts w:hint="eastAsia"/>
          <w:szCs w:val="21"/>
        </w:rPr>
        <w:t>投标文件的正本与副本应分别装订成册，并编制目录，具体装订要求见投标人须知前附表规定。</w:t>
      </w:r>
    </w:p>
    <w:p>
      <w:pPr>
        <w:pStyle w:val="140"/>
        <w:outlineLvl w:val="1"/>
      </w:pPr>
      <w:bookmarkStart w:id="29" w:name="_Toc46325179"/>
      <w:r>
        <w:t xml:space="preserve">4.  </w:t>
      </w:r>
      <w:r>
        <w:rPr>
          <w:rFonts w:hint="eastAsia"/>
        </w:rPr>
        <w:t>投标</w:t>
      </w:r>
      <w:bookmarkEnd w:id="29"/>
    </w:p>
    <w:p>
      <w:pPr>
        <w:pStyle w:val="68"/>
        <w:outlineLvl w:val="2"/>
      </w:pPr>
      <w:bookmarkStart w:id="30" w:name="_Toc46325180"/>
      <w:r>
        <w:t xml:space="preserve">4.1 </w:t>
      </w:r>
      <w:r>
        <w:rPr>
          <w:rFonts w:hint="eastAsia"/>
        </w:rPr>
        <w:t>投标文件的密封和标记</w:t>
      </w:r>
      <w:bookmarkEnd w:id="30"/>
    </w:p>
    <w:p>
      <w:pPr>
        <w:spacing w:line="400" w:lineRule="exact"/>
        <w:ind w:firstLine="420"/>
        <w:rPr>
          <w:szCs w:val="21"/>
        </w:rPr>
      </w:pPr>
      <w:r>
        <w:rPr>
          <w:szCs w:val="21"/>
        </w:rPr>
        <w:t xml:space="preserve">4.1.1  </w:t>
      </w:r>
      <w:r>
        <w:rPr>
          <w:rFonts w:hint="eastAsia"/>
          <w:szCs w:val="21"/>
        </w:rPr>
        <w:t>投标文件封套加贴封条，并在封套的封口处加盖投标人单位章。</w:t>
      </w:r>
    </w:p>
    <w:p>
      <w:pPr>
        <w:spacing w:line="400" w:lineRule="exact"/>
        <w:ind w:firstLine="420"/>
        <w:rPr>
          <w:szCs w:val="21"/>
        </w:rPr>
      </w:pPr>
      <w:r>
        <w:rPr>
          <w:szCs w:val="21"/>
        </w:rPr>
        <w:t xml:space="preserve">4.1.2  </w:t>
      </w:r>
      <w:r>
        <w:rPr>
          <w:rFonts w:hint="eastAsia"/>
          <w:szCs w:val="21"/>
        </w:rPr>
        <w:t>投标文件的封套上应清楚地标记“正本”或“副本”字样，封套上应写明的其他内容见投标人须知前附表。</w:t>
      </w:r>
    </w:p>
    <w:p>
      <w:pPr>
        <w:spacing w:line="400" w:lineRule="exact"/>
        <w:ind w:firstLine="420"/>
        <w:rPr>
          <w:szCs w:val="21"/>
        </w:rPr>
      </w:pPr>
      <w:r>
        <w:rPr>
          <w:szCs w:val="21"/>
        </w:rPr>
        <w:t xml:space="preserve">4.1.3  </w:t>
      </w:r>
      <w:r>
        <w:rPr>
          <w:rFonts w:hint="eastAsia"/>
          <w:szCs w:val="21"/>
        </w:rPr>
        <w:t>投标文件其它密封和标记要求详见投标人须知前附表。</w:t>
      </w:r>
    </w:p>
    <w:p>
      <w:pPr>
        <w:spacing w:line="400" w:lineRule="exact"/>
        <w:ind w:firstLine="420"/>
        <w:rPr>
          <w:szCs w:val="21"/>
        </w:rPr>
      </w:pPr>
      <w:r>
        <w:rPr>
          <w:szCs w:val="21"/>
        </w:rPr>
        <w:t xml:space="preserve">4.1.4  </w:t>
      </w:r>
      <w:r>
        <w:rPr>
          <w:rFonts w:hint="eastAsia"/>
          <w:szCs w:val="21"/>
        </w:rPr>
        <w:t>未按本章第</w:t>
      </w:r>
      <w:r>
        <w:rPr>
          <w:szCs w:val="21"/>
        </w:rPr>
        <w:t>4.1.1</w:t>
      </w:r>
      <w:r>
        <w:rPr>
          <w:rFonts w:hint="eastAsia"/>
          <w:szCs w:val="21"/>
        </w:rPr>
        <w:t>项或第</w:t>
      </w:r>
      <w:r>
        <w:rPr>
          <w:szCs w:val="21"/>
        </w:rPr>
        <w:t>4.1.2</w:t>
      </w:r>
      <w:r>
        <w:rPr>
          <w:rFonts w:hint="eastAsia"/>
          <w:szCs w:val="21"/>
        </w:rPr>
        <w:t>项或</w:t>
      </w:r>
      <w:r>
        <w:rPr>
          <w:szCs w:val="21"/>
        </w:rPr>
        <w:t>4.1.3</w:t>
      </w:r>
      <w:r>
        <w:rPr>
          <w:rFonts w:hint="eastAsia"/>
          <w:szCs w:val="21"/>
        </w:rPr>
        <w:t>项要求密封和加写标记的投标文件，招标人不予受理。</w:t>
      </w:r>
    </w:p>
    <w:p>
      <w:pPr>
        <w:pStyle w:val="68"/>
        <w:outlineLvl w:val="2"/>
      </w:pPr>
      <w:bookmarkStart w:id="31" w:name="_Toc46325181"/>
      <w:r>
        <w:t xml:space="preserve">4.2 </w:t>
      </w:r>
      <w:r>
        <w:rPr>
          <w:rFonts w:hint="eastAsia"/>
        </w:rPr>
        <w:t>投标文件的递交</w:t>
      </w:r>
      <w:bookmarkEnd w:id="31"/>
    </w:p>
    <w:p>
      <w:pPr>
        <w:spacing w:line="400" w:lineRule="exact"/>
        <w:ind w:firstLine="420"/>
        <w:rPr>
          <w:szCs w:val="21"/>
        </w:rPr>
      </w:pPr>
      <w:r>
        <w:rPr>
          <w:szCs w:val="21"/>
        </w:rPr>
        <w:t xml:space="preserve">4.2.1  </w:t>
      </w:r>
      <w:r>
        <w:rPr>
          <w:rFonts w:hint="eastAsia"/>
          <w:szCs w:val="21"/>
        </w:rPr>
        <w:t>投标人应在本章第</w:t>
      </w:r>
      <w:r>
        <w:rPr>
          <w:szCs w:val="21"/>
        </w:rPr>
        <w:t xml:space="preserve">2.2.2  </w:t>
      </w:r>
      <w:r>
        <w:rPr>
          <w:rFonts w:hint="eastAsia"/>
          <w:szCs w:val="21"/>
        </w:rPr>
        <w:t>项规定的投标截止时间前递交投标文件。</w:t>
      </w:r>
    </w:p>
    <w:p>
      <w:pPr>
        <w:spacing w:line="400" w:lineRule="exact"/>
        <w:ind w:firstLine="420"/>
        <w:rPr>
          <w:szCs w:val="21"/>
        </w:rPr>
      </w:pPr>
      <w:r>
        <w:rPr>
          <w:szCs w:val="21"/>
        </w:rPr>
        <w:t xml:space="preserve">4.2.2  </w:t>
      </w:r>
      <w:r>
        <w:rPr>
          <w:rFonts w:hint="eastAsia"/>
          <w:szCs w:val="21"/>
        </w:rPr>
        <w:t>投标人递交投标文件的地点：见投标人须知前附表。</w:t>
      </w:r>
    </w:p>
    <w:p>
      <w:pPr>
        <w:spacing w:line="400" w:lineRule="exact"/>
        <w:ind w:firstLine="420"/>
        <w:rPr>
          <w:szCs w:val="21"/>
        </w:rPr>
      </w:pPr>
      <w:r>
        <w:rPr>
          <w:szCs w:val="21"/>
        </w:rPr>
        <w:t xml:space="preserve">4.2.3  </w:t>
      </w:r>
      <w:r>
        <w:rPr>
          <w:rFonts w:hint="eastAsia"/>
          <w:szCs w:val="21"/>
        </w:rPr>
        <w:t>除投标人须知前附表另有规定外，投标人所递交的投标文件不予退还。</w:t>
      </w:r>
    </w:p>
    <w:p>
      <w:pPr>
        <w:spacing w:line="400" w:lineRule="exact"/>
        <w:ind w:firstLine="420"/>
        <w:rPr>
          <w:szCs w:val="21"/>
        </w:rPr>
      </w:pPr>
      <w:r>
        <w:rPr>
          <w:szCs w:val="21"/>
        </w:rPr>
        <w:t xml:space="preserve">4.2.4  </w:t>
      </w:r>
      <w:r>
        <w:rPr>
          <w:rFonts w:hint="eastAsia"/>
          <w:szCs w:val="21"/>
        </w:rPr>
        <w:t>招标人收到投标文件后，向投标人出具签收凭证。</w:t>
      </w:r>
    </w:p>
    <w:p>
      <w:pPr>
        <w:spacing w:line="400" w:lineRule="exact"/>
        <w:ind w:firstLine="420"/>
        <w:rPr>
          <w:szCs w:val="21"/>
        </w:rPr>
      </w:pPr>
      <w:r>
        <w:rPr>
          <w:szCs w:val="21"/>
        </w:rPr>
        <w:t xml:space="preserve">4.2.5  </w:t>
      </w:r>
      <w:r>
        <w:rPr>
          <w:rFonts w:hint="eastAsia"/>
          <w:szCs w:val="21"/>
        </w:rPr>
        <w:t>逾期送达的或者未送达指定地点的投标文件，招标人不予受理。</w:t>
      </w:r>
    </w:p>
    <w:p>
      <w:pPr>
        <w:spacing w:line="400" w:lineRule="exact"/>
        <w:ind w:firstLine="420"/>
        <w:rPr>
          <w:szCs w:val="21"/>
        </w:rPr>
      </w:pPr>
      <w:r>
        <w:rPr>
          <w:szCs w:val="21"/>
        </w:rPr>
        <w:t xml:space="preserve">4.2.6  </w:t>
      </w:r>
      <w:r>
        <w:rPr>
          <w:rFonts w:hint="eastAsia"/>
          <w:szCs w:val="21"/>
        </w:rPr>
        <w:t>在特殊情况下，招标人如果决定延后投标截止时间，应在投标人须知前附表规定的时间前，以书面形式通知所有投标人延后投标截止时间。</w:t>
      </w:r>
    </w:p>
    <w:p>
      <w:pPr>
        <w:pStyle w:val="68"/>
        <w:outlineLvl w:val="2"/>
      </w:pPr>
      <w:bookmarkStart w:id="32" w:name="_Toc46325182"/>
      <w:r>
        <w:t xml:space="preserve">4.3 </w:t>
      </w:r>
      <w:r>
        <w:rPr>
          <w:rFonts w:hint="eastAsia"/>
        </w:rPr>
        <w:t>投标文件的修改与撤回</w:t>
      </w:r>
      <w:bookmarkEnd w:id="32"/>
    </w:p>
    <w:p>
      <w:pPr>
        <w:spacing w:line="400" w:lineRule="exact"/>
        <w:ind w:firstLine="420"/>
        <w:rPr>
          <w:szCs w:val="21"/>
        </w:rPr>
      </w:pPr>
      <w:r>
        <w:rPr>
          <w:szCs w:val="21"/>
        </w:rPr>
        <w:t xml:space="preserve">4.3.1  </w:t>
      </w:r>
      <w:r>
        <w:rPr>
          <w:rFonts w:hint="eastAsia"/>
          <w:szCs w:val="21"/>
        </w:rPr>
        <w:t>在投标人须知前附表第</w:t>
      </w:r>
      <w:r>
        <w:rPr>
          <w:szCs w:val="21"/>
        </w:rPr>
        <w:t>2.2.2</w:t>
      </w:r>
      <w:r>
        <w:rPr>
          <w:rFonts w:hint="eastAsia"/>
          <w:szCs w:val="21"/>
        </w:rPr>
        <w:t>项规定的投标截止时间前，投标人可以修改或撤回已递交的投标文件，但应以书面形式通知招标人。</w:t>
      </w:r>
    </w:p>
    <w:p>
      <w:pPr>
        <w:spacing w:line="400" w:lineRule="exact"/>
        <w:ind w:firstLine="420"/>
        <w:rPr>
          <w:szCs w:val="21"/>
        </w:rPr>
      </w:pPr>
      <w:r>
        <w:rPr>
          <w:szCs w:val="21"/>
        </w:rPr>
        <w:t xml:space="preserve">4.3.2  </w:t>
      </w:r>
      <w:r>
        <w:rPr>
          <w:rFonts w:hint="eastAsia"/>
          <w:szCs w:val="21"/>
        </w:rPr>
        <w:t>投标人修改或撤回已递交投标文件的书面通知应按照本章第</w:t>
      </w:r>
      <w:r>
        <w:rPr>
          <w:szCs w:val="21"/>
        </w:rPr>
        <w:t>3.7.3</w:t>
      </w:r>
      <w:r>
        <w:rPr>
          <w:rFonts w:hint="eastAsia"/>
          <w:szCs w:val="21"/>
        </w:rPr>
        <w:t>项的要求签字或盖章。招标人收到书面通知后，向投标人出具签收凭证。</w:t>
      </w:r>
    </w:p>
    <w:p>
      <w:pPr>
        <w:spacing w:line="400" w:lineRule="exact"/>
        <w:ind w:firstLine="420"/>
        <w:rPr>
          <w:szCs w:val="21"/>
        </w:rPr>
      </w:pPr>
      <w:r>
        <w:rPr>
          <w:szCs w:val="21"/>
        </w:rPr>
        <w:t xml:space="preserve">4.3.3  </w:t>
      </w:r>
      <w:r>
        <w:rPr>
          <w:rFonts w:hint="eastAsia"/>
          <w:szCs w:val="21"/>
        </w:rPr>
        <w:t>修改的内容为投标文件的组成部分。修改的投标文件应按照本章第</w:t>
      </w:r>
      <w:r>
        <w:rPr>
          <w:szCs w:val="21"/>
        </w:rPr>
        <w:t>3</w:t>
      </w:r>
      <w:r>
        <w:rPr>
          <w:rFonts w:hint="eastAsia"/>
          <w:szCs w:val="21"/>
        </w:rPr>
        <w:t>条、第</w:t>
      </w:r>
      <w:r>
        <w:rPr>
          <w:szCs w:val="21"/>
        </w:rPr>
        <w:t>4</w:t>
      </w:r>
      <w:r>
        <w:rPr>
          <w:rFonts w:hint="eastAsia"/>
          <w:szCs w:val="21"/>
        </w:rPr>
        <w:t>条规定进行编制、密封、标记和递交，并标明“修改”字样。</w:t>
      </w:r>
    </w:p>
    <w:p>
      <w:pPr>
        <w:pStyle w:val="140"/>
        <w:outlineLvl w:val="1"/>
      </w:pPr>
      <w:bookmarkStart w:id="33" w:name="_Toc46325183"/>
      <w:r>
        <w:t xml:space="preserve">5.  </w:t>
      </w:r>
      <w:r>
        <w:rPr>
          <w:rFonts w:hint="eastAsia"/>
        </w:rPr>
        <w:t>开标</w:t>
      </w:r>
      <w:bookmarkEnd w:id="33"/>
    </w:p>
    <w:p>
      <w:pPr>
        <w:pStyle w:val="68"/>
        <w:outlineLvl w:val="2"/>
      </w:pPr>
      <w:bookmarkStart w:id="34" w:name="_Toc46325184"/>
      <w:r>
        <w:t xml:space="preserve">5.1 </w:t>
      </w:r>
      <w:r>
        <w:rPr>
          <w:rFonts w:hint="eastAsia"/>
        </w:rPr>
        <w:t>开标时间和地点</w:t>
      </w:r>
      <w:bookmarkEnd w:id="34"/>
    </w:p>
    <w:p>
      <w:pPr>
        <w:spacing w:line="400" w:lineRule="exact"/>
        <w:ind w:firstLine="420"/>
        <w:rPr>
          <w:szCs w:val="21"/>
        </w:rPr>
      </w:pPr>
      <w:r>
        <w:rPr>
          <w:rFonts w:hint="eastAsia"/>
        </w:rPr>
        <w:t>因防疫需要，本项目不邀请投标人公开开标。</w:t>
      </w:r>
    </w:p>
    <w:p>
      <w:pPr>
        <w:pStyle w:val="140"/>
        <w:outlineLvl w:val="1"/>
      </w:pPr>
      <w:bookmarkStart w:id="35" w:name="_Toc46325185"/>
      <w:r>
        <w:t xml:space="preserve">6. </w:t>
      </w:r>
      <w:r>
        <w:rPr>
          <w:rFonts w:hint="eastAsia"/>
        </w:rPr>
        <w:t>评标</w:t>
      </w:r>
      <w:bookmarkEnd w:id="35"/>
    </w:p>
    <w:p>
      <w:pPr>
        <w:pStyle w:val="68"/>
        <w:outlineLvl w:val="2"/>
      </w:pPr>
      <w:bookmarkStart w:id="36" w:name="_Toc46325186"/>
      <w:r>
        <w:t xml:space="preserve">6.1 </w:t>
      </w:r>
      <w:r>
        <w:rPr>
          <w:rFonts w:hint="eastAsia"/>
        </w:rPr>
        <w:t>评标委员会</w:t>
      </w:r>
      <w:bookmarkEnd w:id="36"/>
    </w:p>
    <w:p>
      <w:pPr>
        <w:spacing w:line="400" w:lineRule="exact"/>
        <w:ind w:firstLine="420"/>
        <w:rPr>
          <w:szCs w:val="21"/>
        </w:rPr>
      </w:pPr>
      <w:r>
        <w:rPr>
          <w:szCs w:val="21"/>
        </w:rPr>
        <w:t xml:space="preserve">6.1.1  </w:t>
      </w:r>
      <w:r>
        <w:rPr>
          <w:rFonts w:hint="eastAsia"/>
          <w:szCs w:val="21"/>
        </w:rPr>
        <w:t>评标由招标人依法组建的评标委员会负责。</w:t>
      </w:r>
    </w:p>
    <w:p>
      <w:pPr>
        <w:pStyle w:val="68"/>
        <w:outlineLvl w:val="2"/>
      </w:pPr>
      <w:bookmarkStart w:id="37" w:name="_Toc46325187"/>
      <w:r>
        <w:t xml:space="preserve">6.2 </w:t>
      </w:r>
      <w:r>
        <w:rPr>
          <w:rFonts w:hint="eastAsia"/>
        </w:rPr>
        <w:t>评标原则</w:t>
      </w:r>
      <w:bookmarkEnd w:id="37"/>
    </w:p>
    <w:p>
      <w:pPr>
        <w:spacing w:line="400" w:lineRule="exact"/>
        <w:ind w:firstLine="420"/>
        <w:rPr>
          <w:szCs w:val="21"/>
        </w:rPr>
      </w:pPr>
      <w:r>
        <w:rPr>
          <w:rFonts w:hint="eastAsia"/>
          <w:szCs w:val="21"/>
        </w:rPr>
        <w:t>评标活动遵循公平、公正、科学和择优的原则。</w:t>
      </w:r>
    </w:p>
    <w:p>
      <w:pPr>
        <w:pStyle w:val="68"/>
        <w:outlineLvl w:val="2"/>
      </w:pPr>
      <w:bookmarkStart w:id="38" w:name="_Toc46325188"/>
      <w:r>
        <w:t xml:space="preserve">6.3 </w:t>
      </w:r>
      <w:r>
        <w:rPr>
          <w:rFonts w:hint="eastAsia"/>
        </w:rPr>
        <w:t>评标</w:t>
      </w:r>
      <w:bookmarkEnd w:id="38"/>
    </w:p>
    <w:p>
      <w:pPr>
        <w:spacing w:line="400" w:lineRule="exact"/>
        <w:ind w:firstLine="420"/>
        <w:rPr>
          <w:szCs w:val="21"/>
        </w:rPr>
      </w:pPr>
      <w:r>
        <w:rPr>
          <w:rFonts w:hint="eastAsia"/>
          <w:szCs w:val="21"/>
        </w:rPr>
        <w:t>评标委员会按照第三章“评标办法”规定的方法、评审因素、标准和程序对投标文件进行评审。第三章“评标办法”没有规定的方法、评审因素和标准，不作为评标依据。</w:t>
      </w:r>
    </w:p>
    <w:p>
      <w:pPr>
        <w:pStyle w:val="140"/>
        <w:outlineLvl w:val="1"/>
      </w:pPr>
      <w:bookmarkStart w:id="39" w:name="_Toc46325189"/>
      <w:r>
        <w:t xml:space="preserve">7. </w:t>
      </w:r>
      <w:r>
        <w:rPr>
          <w:rFonts w:hint="eastAsia"/>
        </w:rPr>
        <w:t>合同授予</w:t>
      </w:r>
      <w:bookmarkEnd w:id="39"/>
    </w:p>
    <w:p>
      <w:pPr>
        <w:pStyle w:val="68"/>
        <w:outlineLvl w:val="2"/>
      </w:pPr>
      <w:bookmarkStart w:id="40" w:name="_Toc46325190"/>
      <w:r>
        <w:t xml:space="preserve">7.1 </w:t>
      </w:r>
      <w:r>
        <w:rPr>
          <w:rFonts w:hint="eastAsia"/>
        </w:rPr>
        <w:t>定标方式</w:t>
      </w:r>
      <w:bookmarkEnd w:id="40"/>
    </w:p>
    <w:p>
      <w:pPr>
        <w:spacing w:line="400" w:lineRule="exact"/>
        <w:ind w:firstLine="420"/>
        <w:rPr>
          <w:szCs w:val="21"/>
        </w:rPr>
      </w:pPr>
      <w:r>
        <w:rPr>
          <w:szCs w:val="21"/>
        </w:rPr>
        <w:t xml:space="preserve">7.1.1 </w:t>
      </w:r>
      <w:r>
        <w:rPr>
          <w:rFonts w:hint="eastAsia"/>
          <w:szCs w:val="21"/>
        </w:rPr>
        <w:t>除投标人须知前附表规定评标委员会直接确定中标人外，招标人依据评标委员会推荐的中标候选人确定中标人，评标委员会推荐中标候选人的人数见投标人须知前附表。</w:t>
      </w:r>
    </w:p>
    <w:p>
      <w:pPr>
        <w:spacing w:line="400" w:lineRule="exact"/>
        <w:ind w:firstLine="420"/>
        <w:rPr>
          <w:szCs w:val="21"/>
        </w:rPr>
      </w:pPr>
      <w:r>
        <w:rPr>
          <w:szCs w:val="21"/>
        </w:rPr>
        <w:t xml:space="preserve">7.1.2 </w:t>
      </w:r>
      <w:r>
        <w:rPr>
          <w:rFonts w:hint="eastAsia"/>
          <w:szCs w:val="21"/>
        </w:rPr>
        <w:t>招标人应当接受评标委员会推荐的中标候选人，不得在评标委员会推荐的中标候选人之外确定中标人。</w:t>
      </w:r>
    </w:p>
    <w:p>
      <w:pPr>
        <w:spacing w:line="400" w:lineRule="exact"/>
        <w:ind w:firstLine="420"/>
        <w:rPr>
          <w:szCs w:val="21"/>
        </w:rPr>
      </w:pPr>
      <w:r>
        <w:rPr>
          <w:rFonts w:hint="eastAsia"/>
          <w:szCs w:val="21"/>
        </w:rPr>
        <w:t>招标人根据评标委员会提出的书面报告和推荐的有排序的中标候选人情况，确定排名第一的中标候选人为中标人。</w:t>
      </w:r>
    </w:p>
    <w:p>
      <w:pPr>
        <w:spacing w:line="400" w:lineRule="exact"/>
        <w:ind w:firstLine="420"/>
        <w:rPr>
          <w:szCs w:val="21"/>
        </w:rPr>
      </w:pPr>
      <w:r>
        <w:rPr>
          <w:rFonts w:hint="eastAsia"/>
          <w:szCs w:val="21"/>
        </w:rPr>
        <w:t>如果排名第一的中标候选人放弃中标、因不可抗力提出不能履行合同或者招标文件规定应当提交履约担保而在规定期限未能提交的，招标人将依法确定排名第二的中标候选人为中</w:t>
      </w:r>
      <w:r>
        <w:rPr>
          <w:szCs w:val="21"/>
        </w:rPr>
        <w:t xml:space="preserve"> </w:t>
      </w:r>
      <w:r>
        <w:rPr>
          <w:rFonts w:hint="eastAsia"/>
          <w:szCs w:val="21"/>
        </w:rPr>
        <w:t>标人，依此类推，当所有中标候选人因上述原因不能签订合同的，招标人将依法重新招标。</w:t>
      </w:r>
    </w:p>
    <w:p>
      <w:pPr>
        <w:spacing w:line="400" w:lineRule="exact"/>
        <w:ind w:firstLine="420"/>
        <w:rPr>
          <w:szCs w:val="21"/>
        </w:rPr>
      </w:pPr>
      <w:r>
        <w:rPr>
          <w:szCs w:val="21"/>
        </w:rPr>
        <w:t xml:space="preserve">7.1.3  </w:t>
      </w:r>
      <w:r>
        <w:rPr>
          <w:rFonts w:hint="eastAsia"/>
          <w:szCs w:val="21"/>
        </w:rPr>
        <w:t>招标人原则上应在评标委员会提出书面报告后的</w:t>
      </w:r>
      <w:r>
        <w:rPr>
          <w:szCs w:val="21"/>
        </w:rPr>
        <w:t>15</w:t>
      </w:r>
      <w:r>
        <w:rPr>
          <w:rFonts w:hint="eastAsia"/>
          <w:szCs w:val="21"/>
        </w:rPr>
        <w:t>日内确定中标人。</w:t>
      </w:r>
    </w:p>
    <w:p>
      <w:pPr>
        <w:pStyle w:val="68"/>
        <w:outlineLvl w:val="2"/>
      </w:pPr>
      <w:bookmarkStart w:id="41" w:name="_Toc46325191"/>
      <w:r>
        <w:t xml:space="preserve">7.2 </w:t>
      </w:r>
      <w:r>
        <w:rPr>
          <w:rFonts w:hint="eastAsia"/>
        </w:rPr>
        <w:t>中标公示</w:t>
      </w:r>
      <w:bookmarkEnd w:id="41"/>
    </w:p>
    <w:p>
      <w:pPr>
        <w:spacing w:line="400" w:lineRule="exact"/>
        <w:ind w:firstLine="420"/>
        <w:rPr>
          <w:szCs w:val="21"/>
        </w:rPr>
      </w:pPr>
      <w:r>
        <w:rPr>
          <w:rFonts w:hint="eastAsia"/>
          <w:szCs w:val="21"/>
        </w:rPr>
        <w:t>招标人自确定中标人之日起，应在与发布招标公告一致的媒介上发布中标公示，公示期为3个日历日。</w:t>
      </w:r>
    </w:p>
    <w:p>
      <w:pPr>
        <w:pStyle w:val="68"/>
        <w:outlineLvl w:val="2"/>
      </w:pPr>
      <w:bookmarkStart w:id="42" w:name="_Toc46325192"/>
      <w:r>
        <w:t xml:space="preserve">7.3 </w:t>
      </w:r>
      <w:r>
        <w:rPr>
          <w:rFonts w:hint="eastAsia"/>
        </w:rPr>
        <w:t>中标通知</w:t>
      </w:r>
      <w:bookmarkEnd w:id="42"/>
    </w:p>
    <w:p>
      <w:pPr>
        <w:spacing w:line="400" w:lineRule="exact"/>
        <w:ind w:firstLine="420"/>
        <w:rPr>
          <w:szCs w:val="21"/>
        </w:rPr>
      </w:pPr>
      <w:r>
        <w:rPr>
          <w:rFonts w:hint="eastAsia"/>
          <w:szCs w:val="21"/>
        </w:rPr>
        <w:t>中标公示期满后，无投标人或其他利害关系人投诉，监督部门没有发现招投标活动中存在违法违规行为的，招标人将在本章第</w:t>
      </w:r>
      <w:r>
        <w:rPr>
          <w:szCs w:val="21"/>
        </w:rPr>
        <w:t xml:space="preserve">3.3 </w:t>
      </w:r>
      <w:r>
        <w:rPr>
          <w:rFonts w:hint="eastAsia"/>
          <w:szCs w:val="21"/>
        </w:rPr>
        <w:t>款规定的投标有效期内，以书面形式向中标人发出中标通知书，同时将中标结果通知未中标的投标人。</w:t>
      </w:r>
    </w:p>
    <w:p>
      <w:pPr>
        <w:spacing w:line="400" w:lineRule="exact"/>
        <w:outlineLvl w:val="2"/>
        <w:rPr>
          <w:sz w:val="24"/>
        </w:rPr>
      </w:pPr>
      <w:bookmarkStart w:id="43" w:name="_Toc46325193"/>
      <w:r>
        <w:rPr>
          <w:rStyle w:val="67"/>
        </w:rPr>
        <w:t>7.</w:t>
      </w:r>
      <w:r>
        <w:rPr>
          <w:rStyle w:val="67"/>
          <w:rFonts w:hint="eastAsia"/>
        </w:rPr>
        <w:t>4</w:t>
      </w:r>
      <w:r>
        <w:rPr>
          <w:rStyle w:val="67"/>
        </w:rPr>
        <w:t xml:space="preserve"> </w:t>
      </w:r>
      <w:r>
        <w:rPr>
          <w:rStyle w:val="67"/>
          <w:rFonts w:hint="eastAsia"/>
        </w:rPr>
        <w:t>签订合同</w:t>
      </w:r>
      <w:bookmarkEnd w:id="43"/>
    </w:p>
    <w:p>
      <w:pPr>
        <w:spacing w:line="400" w:lineRule="exact"/>
        <w:ind w:firstLine="420"/>
        <w:rPr>
          <w:szCs w:val="21"/>
        </w:rPr>
      </w:pPr>
      <w:r>
        <w:rPr>
          <w:szCs w:val="21"/>
        </w:rPr>
        <w:t>7.</w:t>
      </w:r>
      <w:r>
        <w:rPr>
          <w:rFonts w:hint="eastAsia"/>
          <w:szCs w:val="21"/>
        </w:rPr>
        <w:t>4</w:t>
      </w:r>
      <w:r>
        <w:rPr>
          <w:szCs w:val="21"/>
        </w:rPr>
        <w:t xml:space="preserve">.1 </w:t>
      </w:r>
      <w:r>
        <w:rPr>
          <w:rFonts w:hint="eastAsia"/>
          <w:szCs w:val="21"/>
        </w:rPr>
        <w:t>招标人和中标人应当自中标通知书发出之日起</w:t>
      </w:r>
      <w:r>
        <w:rPr>
          <w:szCs w:val="21"/>
        </w:rPr>
        <w:t xml:space="preserve">30 </w:t>
      </w:r>
      <w:r>
        <w:rPr>
          <w:rFonts w:hint="eastAsia"/>
          <w:szCs w:val="21"/>
        </w:rPr>
        <w:t>天内，根据招标文件和中标人的投标文件订立书面合同。中标人无正当理由拒签合同的，给招标人造成的损失的，中标人还应当予以赔偿。</w:t>
      </w:r>
    </w:p>
    <w:p>
      <w:pPr>
        <w:pStyle w:val="140"/>
        <w:outlineLvl w:val="1"/>
      </w:pPr>
      <w:bookmarkStart w:id="44" w:name="_Toc46325194"/>
      <w:r>
        <w:rPr>
          <w:rFonts w:hint="eastAsia"/>
        </w:rPr>
        <w:t>8</w:t>
      </w:r>
      <w:r>
        <w:t xml:space="preserve">.  </w:t>
      </w:r>
      <w:r>
        <w:rPr>
          <w:rFonts w:hint="eastAsia"/>
        </w:rPr>
        <w:t>纪律和监督</w:t>
      </w:r>
      <w:bookmarkEnd w:id="44"/>
    </w:p>
    <w:p>
      <w:pPr>
        <w:pStyle w:val="68"/>
        <w:outlineLvl w:val="2"/>
      </w:pPr>
      <w:bookmarkStart w:id="45" w:name="_Toc46325195"/>
      <w:r>
        <w:rPr>
          <w:rFonts w:hint="eastAsia"/>
        </w:rPr>
        <w:t>8</w:t>
      </w:r>
      <w:r>
        <w:t xml:space="preserve">.1 </w:t>
      </w:r>
      <w:r>
        <w:rPr>
          <w:rFonts w:hint="eastAsia"/>
        </w:rPr>
        <w:t>对招标人的纪律要求</w:t>
      </w:r>
      <w:bookmarkEnd w:id="45"/>
    </w:p>
    <w:p>
      <w:pPr>
        <w:spacing w:line="400" w:lineRule="exact"/>
        <w:ind w:firstLine="420"/>
        <w:rPr>
          <w:szCs w:val="21"/>
        </w:rPr>
      </w:pPr>
      <w:r>
        <w:rPr>
          <w:rFonts w:hint="eastAsia"/>
          <w:szCs w:val="21"/>
        </w:rPr>
        <w:t>招标人不得泄漏招标投标活动中应当保密的情况和资料，不得与投标人串通损害国家利益、社会公共利益或者他人合法权益。</w:t>
      </w:r>
    </w:p>
    <w:p>
      <w:pPr>
        <w:pStyle w:val="68"/>
        <w:outlineLvl w:val="2"/>
      </w:pPr>
      <w:bookmarkStart w:id="46" w:name="_Toc46325196"/>
      <w:r>
        <w:rPr>
          <w:rFonts w:hint="eastAsia"/>
        </w:rPr>
        <w:t>8</w:t>
      </w:r>
      <w:r>
        <w:t xml:space="preserve">.2 </w:t>
      </w:r>
      <w:r>
        <w:rPr>
          <w:rFonts w:hint="eastAsia"/>
        </w:rPr>
        <w:t>对投标人的纪律要求</w:t>
      </w:r>
      <w:bookmarkEnd w:id="46"/>
    </w:p>
    <w:p>
      <w:pPr>
        <w:spacing w:line="400" w:lineRule="exact"/>
        <w:ind w:firstLine="420"/>
        <w:rPr>
          <w:szCs w:val="21"/>
        </w:rPr>
      </w:pPr>
      <w:r>
        <w:rPr>
          <w:rFonts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8"/>
        <w:outlineLvl w:val="2"/>
      </w:pPr>
      <w:bookmarkStart w:id="47" w:name="_Toc46325197"/>
      <w:r>
        <w:rPr>
          <w:rFonts w:hint="eastAsia"/>
        </w:rPr>
        <w:t>8</w:t>
      </w:r>
      <w:r>
        <w:t xml:space="preserve">.3 </w:t>
      </w:r>
      <w:r>
        <w:rPr>
          <w:rFonts w:hint="eastAsia"/>
        </w:rPr>
        <w:t>对评标委员会成员的纪律要求</w:t>
      </w:r>
      <w:bookmarkEnd w:id="47"/>
    </w:p>
    <w:p>
      <w:pPr>
        <w:spacing w:line="400" w:lineRule="exact"/>
        <w:ind w:firstLine="420"/>
        <w:rPr>
          <w:szCs w:val="21"/>
        </w:rPr>
      </w:pPr>
      <w:r>
        <w:rPr>
          <w:rFonts w:hint="eastAsia"/>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w:t>
      </w:r>
      <w:r>
        <w:rPr>
          <w:szCs w:val="21"/>
        </w:rPr>
        <w:t xml:space="preserve"> </w:t>
      </w:r>
      <w:r>
        <w:rPr>
          <w:rFonts w:hint="eastAsia"/>
          <w:szCs w:val="21"/>
        </w:rPr>
        <w:t>标准进行评标。</w:t>
      </w:r>
    </w:p>
    <w:p>
      <w:pPr>
        <w:pStyle w:val="68"/>
        <w:outlineLvl w:val="2"/>
      </w:pPr>
      <w:bookmarkStart w:id="48" w:name="_Toc46325198"/>
      <w:r>
        <w:rPr>
          <w:rFonts w:hint="eastAsia"/>
        </w:rPr>
        <w:t>8</w:t>
      </w:r>
      <w:r>
        <w:t xml:space="preserve">.4 </w:t>
      </w:r>
      <w:r>
        <w:rPr>
          <w:rFonts w:hint="eastAsia"/>
        </w:rPr>
        <w:t>对与评标活动有关的工作人员的纪律要求</w:t>
      </w:r>
      <w:bookmarkEnd w:id="48"/>
    </w:p>
    <w:p>
      <w:pPr>
        <w:spacing w:line="400" w:lineRule="exact"/>
        <w:ind w:firstLine="420"/>
        <w:rPr>
          <w:szCs w:val="21"/>
        </w:rPr>
      </w:pPr>
      <w:r>
        <w:rPr>
          <w:rFonts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140"/>
        <w:outlineLvl w:val="1"/>
      </w:pPr>
      <w:r>
        <w:rPr>
          <w:rFonts w:hint="eastAsia"/>
        </w:rPr>
        <w:t>9.</w:t>
      </w:r>
      <w:r>
        <w:t xml:space="preserve">  补充内容</w:t>
      </w:r>
    </w:p>
    <w:p>
      <w:pPr>
        <w:spacing w:line="400" w:lineRule="exact"/>
        <w:ind w:firstLine="420" w:firstLineChars="200"/>
      </w:pPr>
      <w:r>
        <w:rPr>
          <w:rFonts w:hint="eastAsia"/>
        </w:rPr>
        <w:t>见投标人须知前附表。</w:t>
      </w:r>
    </w:p>
    <w:p>
      <w:pPr>
        <w:spacing w:line="400" w:lineRule="exact"/>
        <w:ind w:firstLine="420" w:firstLineChars="200"/>
      </w:pPr>
    </w:p>
    <w:p>
      <w:pPr>
        <w:spacing w:line="400" w:lineRule="exact"/>
        <w:ind w:firstLine="420" w:firstLineChars="200"/>
      </w:pPr>
    </w:p>
    <w:p>
      <w:pPr>
        <w:spacing w:line="400" w:lineRule="exact"/>
        <w:ind w:firstLine="420" w:firstLineChars="200"/>
      </w:pPr>
    </w:p>
    <w:p>
      <w:pPr>
        <w:spacing w:line="400" w:lineRule="exact"/>
        <w:ind w:firstLine="420" w:firstLineChars="200"/>
        <w:rPr>
          <w:szCs w:val="21"/>
        </w:rPr>
        <w:sectPr>
          <w:footnotePr>
            <w:numFmt w:val="decimalEnclosedCircleChinese"/>
            <w:numRestart w:val="eachPage"/>
          </w:footnotePr>
          <w:pgSz w:w="11906" w:h="16838"/>
          <w:pgMar w:top="1440" w:right="1800" w:bottom="1440" w:left="1800" w:header="851" w:footer="992" w:gutter="0"/>
          <w:cols w:space="720" w:num="1"/>
          <w:docGrid w:type="lines" w:linePitch="312" w:charSpace="0"/>
        </w:sectPr>
      </w:pPr>
    </w:p>
    <w:p>
      <w:pPr>
        <w:pStyle w:val="104"/>
        <w:outlineLvl w:val="0"/>
      </w:pPr>
      <w:bookmarkStart w:id="49" w:name="_Toc46325199"/>
      <w:bookmarkStart w:id="50" w:name="_Toc303840941"/>
      <w:bookmarkStart w:id="51" w:name="_Toc286357739"/>
      <w:r>
        <w:rPr>
          <w:rFonts w:hint="eastAsia"/>
        </w:rPr>
        <w:t>第三章</w:t>
      </w:r>
      <w:r>
        <w:t xml:space="preserve"> </w:t>
      </w:r>
      <w:r>
        <w:rPr>
          <w:rFonts w:hint="eastAsia"/>
        </w:rPr>
        <w:t>评标办法（综合评估法）</w:t>
      </w:r>
      <w:bookmarkEnd w:id="49"/>
      <w:bookmarkEnd w:id="50"/>
    </w:p>
    <w:p>
      <w:bookmarkStart w:id="52" w:name="_Toc286406822"/>
      <w:bookmarkStart w:id="53" w:name="_Toc286357741"/>
      <w:r>
        <w:rPr>
          <w:rFonts w:hint="eastAsia"/>
        </w:rPr>
        <w:t>评标办法前附表</w:t>
      </w:r>
      <w:bookmarkEnd w:id="52"/>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180"/>
        <w:gridCol w:w="720"/>
        <w:gridCol w:w="1618"/>
        <w:gridCol w:w="722"/>
        <w:gridCol w:w="720"/>
        <w:gridCol w:w="162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vAlign w:val="center"/>
          </w:tcPr>
          <w:p>
            <w:pPr>
              <w:rPr>
                <w:sz w:val="18"/>
                <w:szCs w:val="18"/>
              </w:rPr>
            </w:pPr>
            <w:r>
              <w:rPr>
                <w:rFonts w:hint="eastAsia" w:ascii="宋体" w:cs="宋体"/>
                <w:kern w:val="0"/>
                <w:sz w:val="18"/>
                <w:szCs w:val="18"/>
              </w:rPr>
              <w:t>条款号</w:t>
            </w:r>
          </w:p>
        </w:tc>
        <w:tc>
          <w:tcPr>
            <w:tcW w:w="2518" w:type="dxa"/>
            <w:gridSpan w:val="3"/>
            <w:vAlign w:val="center"/>
          </w:tcPr>
          <w:p>
            <w:pPr>
              <w:jc w:val="center"/>
              <w:rPr>
                <w:sz w:val="18"/>
                <w:szCs w:val="18"/>
              </w:rPr>
            </w:pPr>
            <w:r>
              <w:rPr>
                <w:rFonts w:hint="eastAsia" w:ascii="宋体" w:cs="宋体"/>
                <w:kern w:val="0"/>
                <w:sz w:val="18"/>
                <w:szCs w:val="18"/>
              </w:rPr>
              <w:t>评审因素</w:t>
            </w:r>
          </w:p>
        </w:tc>
        <w:tc>
          <w:tcPr>
            <w:tcW w:w="4276" w:type="dxa"/>
            <w:gridSpan w:val="4"/>
            <w:vAlign w:val="center"/>
          </w:tcPr>
          <w:p>
            <w:pPr>
              <w:jc w:val="center"/>
              <w:rPr>
                <w:sz w:val="18"/>
                <w:szCs w:val="18"/>
              </w:rPr>
            </w:pPr>
            <w:r>
              <w:rPr>
                <w:rFonts w:hint="eastAsia" w:ascii="宋体" w:cs="宋体"/>
                <w:kern w:val="0"/>
                <w:sz w:val="18"/>
                <w:szCs w:val="18"/>
              </w:rPr>
              <w:t>评</w:t>
            </w:r>
            <w:r>
              <w:rPr>
                <w:rFonts w:ascii="宋体" w:cs="宋体"/>
                <w:kern w:val="0"/>
                <w:sz w:val="18"/>
                <w:szCs w:val="18"/>
              </w:rPr>
              <w:tab/>
            </w:r>
            <w:r>
              <w:rPr>
                <w:rFonts w:hint="eastAsia" w:ascii="宋体" w:cs="宋体"/>
                <w:kern w:val="0"/>
                <w:sz w:val="18"/>
                <w:szCs w:val="18"/>
              </w:rPr>
              <w:t>审标</w:t>
            </w:r>
            <w:r>
              <w:rPr>
                <w:rFonts w:ascii="宋体" w:cs="宋体"/>
                <w:kern w:val="0"/>
                <w:sz w:val="18"/>
                <w:szCs w:val="18"/>
              </w:rPr>
              <w:tab/>
            </w:r>
            <w:r>
              <w:rPr>
                <w:rFonts w:hint="eastAsia" w:ascii="宋体" w:cs="宋体"/>
                <w:kern w:val="0"/>
                <w:sz w:val="18"/>
                <w:szCs w:val="18"/>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vAlign w:val="center"/>
          </w:tcPr>
          <w:p>
            <w:pPr>
              <w:rPr>
                <w:sz w:val="18"/>
                <w:szCs w:val="18"/>
              </w:rPr>
            </w:pPr>
            <w:r>
              <w:rPr>
                <w:spacing w:val="1"/>
                <w:kern w:val="0"/>
                <w:sz w:val="18"/>
                <w:szCs w:val="18"/>
              </w:rPr>
              <w:t>2</w:t>
            </w:r>
            <w:r>
              <w:rPr>
                <w:spacing w:val="-1"/>
                <w:kern w:val="0"/>
                <w:sz w:val="18"/>
                <w:szCs w:val="18"/>
              </w:rPr>
              <w:t>.</w:t>
            </w:r>
            <w:r>
              <w:rPr>
                <w:spacing w:val="1"/>
                <w:kern w:val="0"/>
                <w:sz w:val="18"/>
                <w:szCs w:val="18"/>
              </w:rPr>
              <w:t>1</w:t>
            </w:r>
            <w:r>
              <w:rPr>
                <w:spacing w:val="-1"/>
                <w:kern w:val="0"/>
                <w:sz w:val="18"/>
                <w:szCs w:val="18"/>
              </w:rPr>
              <w:t>.</w:t>
            </w:r>
            <w:r>
              <w:rPr>
                <w:kern w:val="0"/>
                <w:sz w:val="18"/>
                <w:szCs w:val="18"/>
              </w:rPr>
              <w:t>1</w:t>
            </w:r>
          </w:p>
        </w:tc>
        <w:tc>
          <w:tcPr>
            <w:tcW w:w="900" w:type="dxa"/>
            <w:vMerge w:val="restart"/>
            <w:vAlign w:val="center"/>
          </w:tcPr>
          <w:p>
            <w:pPr>
              <w:rPr>
                <w:sz w:val="18"/>
                <w:szCs w:val="18"/>
              </w:rPr>
            </w:pPr>
            <w:r>
              <w:rPr>
                <w:rFonts w:hint="eastAsia" w:ascii="宋体" w:cs="宋体"/>
                <w:kern w:val="0"/>
                <w:sz w:val="18"/>
                <w:szCs w:val="18"/>
              </w:rPr>
              <w:t>形式评审标准</w:t>
            </w:r>
          </w:p>
        </w:tc>
        <w:tc>
          <w:tcPr>
            <w:tcW w:w="2518" w:type="dxa"/>
            <w:gridSpan w:val="3"/>
            <w:vAlign w:val="center"/>
          </w:tcPr>
          <w:p>
            <w:pPr>
              <w:rPr>
                <w:sz w:val="18"/>
                <w:szCs w:val="18"/>
              </w:rPr>
            </w:pPr>
            <w:r>
              <w:rPr>
                <w:rFonts w:hint="eastAsia"/>
                <w:sz w:val="18"/>
                <w:szCs w:val="18"/>
              </w:rPr>
              <w:t>投标文件的组成、装订、</w:t>
            </w:r>
            <w:r>
              <w:rPr>
                <w:sz w:val="18"/>
                <w:szCs w:val="18"/>
              </w:rPr>
              <w:t xml:space="preserve"> </w:t>
            </w:r>
            <w:r>
              <w:rPr>
                <w:rFonts w:hint="eastAsia"/>
                <w:sz w:val="18"/>
                <w:szCs w:val="18"/>
              </w:rPr>
              <w:t>数量、密封和标记</w:t>
            </w:r>
          </w:p>
        </w:tc>
        <w:tc>
          <w:tcPr>
            <w:tcW w:w="4276" w:type="dxa"/>
            <w:gridSpan w:val="4"/>
          </w:tcPr>
          <w:p>
            <w:pPr>
              <w:rPr>
                <w:sz w:val="18"/>
                <w:szCs w:val="18"/>
              </w:rPr>
            </w:pPr>
            <w:r>
              <w:rPr>
                <w:rFonts w:hint="eastAsia"/>
                <w:sz w:val="18"/>
                <w:szCs w:val="18"/>
              </w:rPr>
              <w:t>符合第二章“投标人须知”第</w:t>
            </w:r>
            <w:r>
              <w:rPr>
                <w:sz w:val="18"/>
                <w:szCs w:val="18"/>
              </w:rPr>
              <w:t>3.7</w:t>
            </w:r>
            <w:r>
              <w:rPr>
                <w:rFonts w:hint="eastAsia"/>
                <w:sz w:val="18"/>
                <w:szCs w:val="18"/>
              </w:rPr>
              <w:t>项、</w:t>
            </w:r>
            <w:r>
              <w:rPr>
                <w:sz w:val="18"/>
                <w:szCs w:val="18"/>
              </w:rPr>
              <w:t>4.1</w:t>
            </w:r>
            <w:r>
              <w:rPr>
                <w:rFonts w:hint="eastAsia"/>
                <w:sz w:val="18"/>
                <w:szCs w:val="18"/>
              </w:rPr>
              <w:t>项及附录二规定要求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rPr>
                <w:sz w:val="18"/>
                <w:szCs w:val="18"/>
              </w:rPr>
            </w:pPr>
          </w:p>
        </w:tc>
        <w:tc>
          <w:tcPr>
            <w:tcW w:w="900" w:type="dxa"/>
            <w:vMerge w:val="continue"/>
            <w:vAlign w:val="center"/>
          </w:tcPr>
          <w:p>
            <w:pPr>
              <w:rPr>
                <w:sz w:val="18"/>
                <w:szCs w:val="18"/>
              </w:rPr>
            </w:pPr>
          </w:p>
        </w:tc>
        <w:tc>
          <w:tcPr>
            <w:tcW w:w="2518" w:type="dxa"/>
            <w:gridSpan w:val="3"/>
            <w:vAlign w:val="center"/>
          </w:tcPr>
          <w:p>
            <w:pPr>
              <w:rPr>
                <w:sz w:val="18"/>
                <w:szCs w:val="18"/>
              </w:rPr>
            </w:pPr>
            <w:r>
              <w:rPr>
                <w:rFonts w:hint="eastAsia"/>
                <w:sz w:val="18"/>
                <w:szCs w:val="18"/>
              </w:rPr>
              <w:t>投标人名称</w:t>
            </w:r>
          </w:p>
        </w:tc>
        <w:tc>
          <w:tcPr>
            <w:tcW w:w="4276" w:type="dxa"/>
            <w:gridSpan w:val="4"/>
          </w:tcPr>
          <w:p>
            <w:pPr>
              <w:rPr>
                <w:sz w:val="18"/>
                <w:szCs w:val="18"/>
              </w:rPr>
            </w:pPr>
            <w:r>
              <w:rPr>
                <w:rFonts w:hint="eastAsia"/>
                <w:sz w:val="18"/>
                <w:szCs w:val="18"/>
              </w:rPr>
              <w:t>与营业执照、资质证书可证一致，与通过报名的单位名称一致（若不一致应提供相关部门的合法批件）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rPr>
                <w:sz w:val="18"/>
                <w:szCs w:val="18"/>
              </w:rPr>
            </w:pPr>
          </w:p>
        </w:tc>
        <w:tc>
          <w:tcPr>
            <w:tcW w:w="900" w:type="dxa"/>
            <w:vMerge w:val="continue"/>
            <w:vAlign w:val="center"/>
          </w:tcPr>
          <w:p>
            <w:pPr>
              <w:rPr>
                <w:sz w:val="18"/>
                <w:szCs w:val="18"/>
              </w:rPr>
            </w:pPr>
          </w:p>
        </w:tc>
        <w:tc>
          <w:tcPr>
            <w:tcW w:w="2518" w:type="dxa"/>
            <w:gridSpan w:val="3"/>
            <w:vAlign w:val="center"/>
          </w:tcPr>
          <w:p>
            <w:pPr>
              <w:rPr>
                <w:sz w:val="18"/>
                <w:szCs w:val="18"/>
              </w:rPr>
            </w:pPr>
            <w:r>
              <w:rPr>
                <w:rFonts w:hint="eastAsia"/>
                <w:sz w:val="18"/>
                <w:szCs w:val="18"/>
              </w:rPr>
              <w:t>投标文件的签署及盖章</w:t>
            </w:r>
          </w:p>
        </w:tc>
        <w:tc>
          <w:tcPr>
            <w:tcW w:w="4276" w:type="dxa"/>
            <w:gridSpan w:val="4"/>
          </w:tcPr>
          <w:p>
            <w:pPr>
              <w:rPr>
                <w:sz w:val="18"/>
                <w:szCs w:val="18"/>
              </w:rPr>
            </w:pPr>
            <w:r>
              <w:rPr>
                <w:rFonts w:hint="eastAsia"/>
                <w:sz w:val="18"/>
                <w:szCs w:val="18"/>
              </w:rPr>
              <w:t>符合第二章“投标人须知”第</w:t>
            </w:r>
            <w:r>
              <w:rPr>
                <w:sz w:val="18"/>
                <w:szCs w:val="18"/>
              </w:rPr>
              <w:t>3.7.3</w:t>
            </w:r>
            <w:r>
              <w:rPr>
                <w:rFonts w:hint="eastAsia"/>
                <w:sz w:val="18"/>
                <w:szCs w:val="18"/>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rPr>
                <w:sz w:val="18"/>
                <w:szCs w:val="18"/>
              </w:rPr>
            </w:pPr>
          </w:p>
        </w:tc>
        <w:tc>
          <w:tcPr>
            <w:tcW w:w="900" w:type="dxa"/>
            <w:vMerge w:val="continue"/>
            <w:vAlign w:val="center"/>
          </w:tcPr>
          <w:p>
            <w:pPr>
              <w:rPr>
                <w:sz w:val="18"/>
                <w:szCs w:val="18"/>
              </w:rPr>
            </w:pPr>
          </w:p>
        </w:tc>
        <w:tc>
          <w:tcPr>
            <w:tcW w:w="2518" w:type="dxa"/>
            <w:gridSpan w:val="3"/>
            <w:vAlign w:val="center"/>
          </w:tcPr>
          <w:p>
            <w:pPr>
              <w:rPr>
                <w:sz w:val="18"/>
                <w:szCs w:val="18"/>
              </w:rPr>
            </w:pPr>
            <w:r>
              <w:rPr>
                <w:rFonts w:hint="eastAsia"/>
                <w:sz w:val="18"/>
                <w:szCs w:val="18"/>
              </w:rPr>
              <w:t>投标文件格式</w:t>
            </w:r>
          </w:p>
        </w:tc>
        <w:tc>
          <w:tcPr>
            <w:tcW w:w="4276" w:type="dxa"/>
            <w:gridSpan w:val="4"/>
          </w:tcPr>
          <w:p>
            <w:pPr>
              <w:rPr>
                <w:sz w:val="18"/>
                <w:szCs w:val="18"/>
              </w:rPr>
            </w:pPr>
            <w:r>
              <w:rPr>
                <w:rFonts w:hint="eastAsia"/>
                <w:sz w:val="18"/>
                <w:szCs w:val="18"/>
              </w:rPr>
              <w:t>符合第五章“投标文件格式”的要求，按招标文件规定格式填报了所有数据，字迹清晰可辨，并符合招标文件其他规定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rPr>
                <w:sz w:val="18"/>
                <w:szCs w:val="18"/>
              </w:rPr>
            </w:pPr>
          </w:p>
        </w:tc>
        <w:tc>
          <w:tcPr>
            <w:tcW w:w="900" w:type="dxa"/>
            <w:vMerge w:val="continue"/>
            <w:vAlign w:val="center"/>
          </w:tcPr>
          <w:p>
            <w:pPr>
              <w:rPr>
                <w:sz w:val="18"/>
                <w:szCs w:val="18"/>
              </w:rPr>
            </w:pPr>
          </w:p>
        </w:tc>
        <w:tc>
          <w:tcPr>
            <w:tcW w:w="2518" w:type="dxa"/>
            <w:gridSpan w:val="3"/>
            <w:vAlign w:val="center"/>
          </w:tcPr>
          <w:p>
            <w:pPr>
              <w:rPr>
                <w:sz w:val="18"/>
                <w:szCs w:val="18"/>
              </w:rPr>
            </w:pPr>
            <w:r>
              <w:rPr>
                <w:rFonts w:hint="eastAsia"/>
                <w:sz w:val="18"/>
                <w:szCs w:val="18"/>
              </w:rPr>
              <w:t>授权委托书</w:t>
            </w:r>
          </w:p>
        </w:tc>
        <w:tc>
          <w:tcPr>
            <w:tcW w:w="4276" w:type="dxa"/>
            <w:gridSpan w:val="4"/>
          </w:tcPr>
          <w:p>
            <w:pPr>
              <w:rPr>
                <w:sz w:val="18"/>
                <w:szCs w:val="18"/>
              </w:rPr>
            </w:pPr>
            <w:r>
              <w:rPr>
                <w:rFonts w:hint="eastAsia"/>
                <w:sz w:val="18"/>
                <w:szCs w:val="18"/>
              </w:rPr>
              <w:t>投标文件由授权委托人签署的，应按照招标文件的格式出具授权委托书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28" w:type="dxa"/>
            <w:vMerge w:val="continue"/>
            <w:vAlign w:val="center"/>
          </w:tcPr>
          <w:p>
            <w:pPr>
              <w:rPr>
                <w:sz w:val="18"/>
                <w:szCs w:val="18"/>
              </w:rPr>
            </w:pPr>
          </w:p>
        </w:tc>
        <w:tc>
          <w:tcPr>
            <w:tcW w:w="900" w:type="dxa"/>
            <w:vMerge w:val="continue"/>
            <w:vAlign w:val="center"/>
          </w:tcPr>
          <w:p>
            <w:pPr>
              <w:rPr>
                <w:sz w:val="18"/>
                <w:szCs w:val="18"/>
              </w:rPr>
            </w:pPr>
          </w:p>
        </w:tc>
        <w:tc>
          <w:tcPr>
            <w:tcW w:w="2518" w:type="dxa"/>
            <w:gridSpan w:val="3"/>
            <w:vAlign w:val="center"/>
          </w:tcPr>
          <w:p>
            <w:pPr>
              <w:rPr>
                <w:sz w:val="18"/>
                <w:szCs w:val="18"/>
              </w:rPr>
            </w:pPr>
            <w:r>
              <w:rPr>
                <w:rFonts w:hint="eastAsia"/>
                <w:sz w:val="18"/>
                <w:szCs w:val="18"/>
              </w:rPr>
              <w:t>报价唯一</w:t>
            </w:r>
          </w:p>
        </w:tc>
        <w:tc>
          <w:tcPr>
            <w:tcW w:w="4276" w:type="dxa"/>
            <w:gridSpan w:val="4"/>
            <w:vAlign w:val="center"/>
          </w:tcPr>
          <w:p>
            <w:pPr>
              <w:rPr>
                <w:sz w:val="18"/>
                <w:szCs w:val="18"/>
              </w:rPr>
            </w:pPr>
            <w:r>
              <w:rPr>
                <w:rFonts w:hint="eastAsia"/>
                <w:sz w:val="18"/>
                <w:szCs w:val="18"/>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rPr>
                <w:sz w:val="18"/>
                <w:szCs w:val="18"/>
              </w:rPr>
            </w:pPr>
          </w:p>
        </w:tc>
        <w:tc>
          <w:tcPr>
            <w:tcW w:w="900" w:type="dxa"/>
            <w:vMerge w:val="continue"/>
            <w:vAlign w:val="center"/>
          </w:tcPr>
          <w:p>
            <w:pPr>
              <w:rPr>
                <w:sz w:val="18"/>
                <w:szCs w:val="18"/>
              </w:rPr>
            </w:pPr>
          </w:p>
        </w:tc>
        <w:tc>
          <w:tcPr>
            <w:tcW w:w="2518" w:type="dxa"/>
            <w:gridSpan w:val="3"/>
            <w:vAlign w:val="center"/>
          </w:tcPr>
          <w:p>
            <w:pPr>
              <w:rPr>
                <w:sz w:val="18"/>
                <w:szCs w:val="18"/>
              </w:rPr>
            </w:pPr>
            <w:r>
              <w:rPr>
                <w:sz w:val="18"/>
                <w:szCs w:val="18"/>
              </w:rPr>
              <w:t>投标报价</w:t>
            </w:r>
          </w:p>
        </w:tc>
        <w:tc>
          <w:tcPr>
            <w:tcW w:w="4276" w:type="dxa"/>
            <w:gridSpan w:val="4"/>
          </w:tcPr>
          <w:p>
            <w:pPr>
              <w:rPr>
                <w:sz w:val="18"/>
                <w:szCs w:val="18"/>
              </w:rPr>
            </w:pPr>
            <w:r>
              <w:rPr>
                <w:sz w:val="18"/>
                <w:szCs w:val="18"/>
              </w:rPr>
              <w:t>未超过最高限价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28" w:type="dxa"/>
            <w:vMerge w:val="continue"/>
            <w:vAlign w:val="center"/>
          </w:tcPr>
          <w:p>
            <w:pPr>
              <w:rPr>
                <w:sz w:val="18"/>
                <w:szCs w:val="18"/>
              </w:rPr>
            </w:pPr>
          </w:p>
        </w:tc>
        <w:tc>
          <w:tcPr>
            <w:tcW w:w="900" w:type="dxa"/>
            <w:vMerge w:val="continue"/>
            <w:vAlign w:val="center"/>
          </w:tcPr>
          <w:p>
            <w:pPr>
              <w:rPr>
                <w:sz w:val="18"/>
                <w:szCs w:val="18"/>
              </w:rPr>
            </w:pPr>
          </w:p>
        </w:tc>
        <w:tc>
          <w:tcPr>
            <w:tcW w:w="2518" w:type="dxa"/>
            <w:gridSpan w:val="3"/>
            <w:vAlign w:val="center"/>
          </w:tcPr>
          <w:p>
            <w:pPr>
              <w:rPr>
                <w:sz w:val="18"/>
                <w:szCs w:val="18"/>
              </w:rPr>
            </w:pPr>
            <w:r>
              <w:rPr>
                <w:rFonts w:hint="eastAsia"/>
                <w:sz w:val="18"/>
                <w:szCs w:val="18"/>
              </w:rPr>
              <w:t>其它</w:t>
            </w:r>
          </w:p>
        </w:tc>
        <w:tc>
          <w:tcPr>
            <w:tcW w:w="4276" w:type="dxa"/>
            <w:gridSpan w:val="4"/>
          </w:tcPr>
          <w:p>
            <w:pPr>
              <w:rPr>
                <w:sz w:val="18"/>
                <w:szCs w:val="18"/>
              </w:rPr>
            </w:pPr>
            <w:r>
              <w:rPr>
                <w:rFonts w:hint="eastAsia"/>
                <w:sz w:val="18"/>
                <w:szCs w:val="18"/>
              </w:rPr>
              <w:t>投标文件未附有招标人不能接受的条件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vAlign w:val="center"/>
          </w:tcPr>
          <w:p>
            <w:pPr>
              <w:rPr>
                <w:sz w:val="18"/>
                <w:szCs w:val="18"/>
              </w:rPr>
            </w:pPr>
            <w:r>
              <w:rPr>
                <w:spacing w:val="1"/>
                <w:kern w:val="0"/>
                <w:sz w:val="18"/>
                <w:szCs w:val="18"/>
              </w:rPr>
              <w:t>2</w:t>
            </w:r>
            <w:r>
              <w:rPr>
                <w:spacing w:val="-1"/>
                <w:kern w:val="0"/>
                <w:sz w:val="18"/>
                <w:szCs w:val="18"/>
              </w:rPr>
              <w:t>.</w:t>
            </w:r>
            <w:r>
              <w:rPr>
                <w:spacing w:val="1"/>
                <w:kern w:val="0"/>
                <w:sz w:val="18"/>
                <w:szCs w:val="18"/>
              </w:rPr>
              <w:t>1</w:t>
            </w:r>
            <w:r>
              <w:rPr>
                <w:spacing w:val="-1"/>
                <w:kern w:val="0"/>
                <w:sz w:val="18"/>
                <w:szCs w:val="18"/>
              </w:rPr>
              <w:t>.</w:t>
            </w:r>
            <w:r>
              <w:rPr>
                <w:kern w:val="0"/>
                <w:sz w:val="18"/>
                <w:szCs w:val="18"/>
              </w:rPr>
              <w:t>2</w:t>
            </w:r>
          </w:p>
        </w:tc>
        <w:tc>
          <w:tcPr>
            <w:tcW w:w="900" w:type="dxa"/>
            <w:vMerge w:val="restart"/>
            <w:vAlign w:val="center"/>
          </w:tcPr>
          <w:p>
            <w:pPr>
              <w:rPr>
                <w:rFonts w:ascii="宋体" w:cs="宋体"/>
                <w:kern w:val="0"/>
                <w:sz w:val="18"/>
                <w:szCs w:val="18"/>
              </w:rPr>
            </w:pPr>
            <w:r>
              <w:rPr>
                <w:rFonts w:hint="eastAsia" w:ascii="宋体" w:cs="宋体"/>
                <w:kern w:val="0"/>
                <w:sz w:val="18"/>
                <w:szCs w:val="18"/>
              </w:rPr>
              <w:t>资格评审标准</w:t>
            </w:r>
          </w:p>
        </w:tc>
        <w:tc>
          <w:tcPr>
            <w:tcW w:w="2518" w:type="dxa"/>
            <w:gridSpan w:val="3"/>
            <w:vAlign w:val="center"/>
          </w:tcPr>
          <w:p>
            <w:pPr>
              <w:rPr>
                <w:sz w:val="18"/>
                <w:szCs w:val="18"/>
              </w:rPr>
            </w:pPr>
            <w:r>
              <w:rPr>
                <w:rFonts w:hint="eastAsia"/>
                <w:sz w:val="18"/>
                <w:szCs w:val="18"/>
              </w:rPr>
              <w:t>资质等级</w:t>
            </w:r>
          </w:p>
        </w:tc>
        <w:tc>
          <w:tcPr>
            <w:tcW w:w="4276" w:type="dxa"/>
            <w:gridSpan w:val="4"/>
          </w:tcPr>
          <w:p>
            <w:pPr>
              <w:rPr>
                <w:sz w:val="18"/>
                <w:szCs w:val="18"/>
              </w:rPr>
            </w:pPr>
            <w:r>
              <w:rPr>
                <w:rFonts w:hint="eastAsia"/>
                <w:sz w:val="18"/>
                <w:szCs w:val="18"/>
              </w:rPr>
              <w:t>符合第二章“投标人须知”第</w:t>
            </w:r>
            <w:r>
              <w:rPr>
                <w:sz w:val="18"/>
                <w:szCs w:val="18"/>
              </w:rPr>
              <w:t xml:space="preserve">1.4.1 </w:t>
            </w:r>
            <w:r>
              <w:rPr>
                <w:rFonts w:hint="eastAsia"/>
                <w:sz w:val="18"/>
                <w:szCs w:val="18"/>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rPr>
                <w:sz w:val="18"/>
                <w:szCs w:val="18"/>
              </w:rPr>
            </w:pPr>
          </w:p>
        </w:tc>
        <w:tc>
          <w:tcPr>
            <w:tcW w:w="900" w:type="dxa"/>
            <w:vMerge w:val="continue"/>
            <w:vAlign w:val="center"/>
          </w:tcPr>
          <w:p>
            <w:pPr>
              <w:rPr>
                <w:sz w:val="18"/>
                <w:szCs w:val="18"/>
              </w:rPr>
            </w:pPr>
          </w:p>
        </w:tc>
        <w:tc>
          <w:tcPr>
            <w:tcW w:w="2518" w:type="dxa"/>
            <w:gridSpan w:val="3"/>
            <w:vAlign w:val="center"/>
          </w:tcPr>
          <w:p>
            <w:pPr>
              <w:rPr>
                <w:sz w:val="18"/>
                <w:szCs w:val="18"/>
              </w:rPr>
            </w:pPr>
            <w:r>
              <w:rPr>
                <w:rFonts w:hint="eastAsia"/>
                <w:sz w:val="18"/>
                <w:szCs w:val="18"/>
              </w:rPr>
              <w:t>财务状况</w:t>
            </w:r>
          </w:p>
        </w:tc>
        <w:tc>
          <w:tcPr>
            <w:tcW w:w="4276" w:type="dxa"/>
            <w:gridSpan w:val="4"/>
          </w:tcPr>
          <w:p>
            <w:pPr>
              <w:rPr>
                <w:sz w:val="18"/>
                <w:szCs w:val="18"/>
              </w:rPr>
            </w:pPr>
            <w:r>
              <w:rPr>
                <w:rFonts w:hint="eastAsia"/>
                <w:sz w:val="18"/>
                <w:szCs w:val="18"/>
              </w:rPr>
              <w:t>符合第二章“投标人须知”第</w:t>
            </w:r>
            <w:r>
              <w:rPr>
                <w:sz w:val="18"/>
                <w:szCs w:val="18"/>
              </w:rPr>
              <w:t xml:space="preserve">1.4.1 </w:t>
            </w:r>
            <w:r>
              <w:rPr>
                <w:rFonts w:hint="eastAsia"/>
                <w:sz w:val="18"/>
                <w:szCs w:val="18"/>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rPr>
                <w:sz w:val="18"/>
                <w:szCs w:val="18"/>
              </w:rPr>
            </w:pPr>
          </w:p>
        </w:tc>
        <w:tc>
          <w:tcPr>
            <w:tcW w:w="900" w:type="dxa"/>
            <w:vMerge w:val="continue"/>
            <w:vAlign w:val="center"/>
          </w:tcPr>
          <w:p>
            <w:pPr>
              <w:rPr>
                <w:sz w:val="18"/>
                <w:szCs w:val="18"/>
              </w:rPr>
            </w:pPr>
          </w:p>
        </w:tc>
        <w:tc>
          <w:tcPr>
            <w:tcW w:w="2518" w:type="dxa"/>
            <w:gridSpan w:val="3"/>
            <w:vAlign w:val="center"/>
          </w:tcPr>
          <w:p>
            <w:pPr>
              <w:rPr>
                <w:sz w:val="18"/>
                <w:szCs w:val="18"/>
              </w:rPr>
            </w:pPr>
            <w:r>
              <w:rPr>
                <w:rFonts w:hint="eastAsia"/>
                <w:sz w:val="18"/>
                <w:szCs w:val="18"/>
              </w:rPr>
              <w:t>业绩要求</w:t>
            </w:r>
          </w:p>
        </w:tc>
        <w:tc>
          <w:tcPr>
            <w:tcW w:w="4276" w:type="dxa"/>
            <w:gridSpan w:val="4"/>
          </w:tcPr>
          <w:p>
            <w:pPr>
              <w:rPr>
                <w:b/>
                <w:bCs/>
                <w:sz w:val="18"/>
                <w:szCs w:val="18"/>
              </w:rPr>
            </w:pPr>
            <w:r>
              <w:rPr>
                <w:rFonts w:hint="eastAsia"/>
                <w:sz w:val="18"/>
                <w:szCs w:val="18"/>
              </w:rPr>
              <w:t>符合第二章“投标人须知”第</w:t>
            </w:r>
            <w:r>
              <w:rPr>
                <w:sz w:val="18"/>
                <w:szCs w:val="18"/>
              </w:rPr>
              <w:t xml:space="preserve">1.4.1 </w:t>
            </w:r>
            <w:r>
              <w:rPr>
                <w:rFonts w:hint="eastAsia"/>
                <w:sz w:val="18"/>
                <w:szCs w:val="18"/>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rPr>
                <w:sz w:val="18"/>
                <w:szCs w:val="18"/>
              </w:rPr>
            </w:pPr>
          </w:p>
        </w:tc>
        <w:tc>
          <w:tcPr>
            <w:tcW w:w="900" w:type="dxa"/>
            <w:vMerge w:val="continue"/>
            <w:vAlign w:val="center"/>
          </w:tcPr>
          <w:p>
            <w:pPr>
              <w:rPr>
                <w:sz w:val="18"/>
                <w:szCs w:val="18"/>
              </w:rPr>
            </w:pPr>
          </w:p>
        </w:tc>
        <w:tc>
          <w:tcPr>
            <w:tcW w:w="2518" w:type="dxa"/>
            <w:gridSpan w:val="3"/>
            <w:vAlign w:val="center"/>
          </w:tcPr>
          <w:p>
            <w:pPr>
              <w:rPr>
                <w:sz w:val="18"/>
                <w:szCs w:val="18"/>
              </w:rPr>
            </w:pPr>
            <w:r>
              <w:rPr>
                <w:rFonts w:hint="eastAsia"/>
                <w:sz w:val="18"/>
                <w:szCs w:val="18"/>
              </w:rPr>
              <w:t>信誉要求</w:t>
            </w:r>
          </w:p>
        </w:tc>
        <w:tc>
          <w:tcPr>
            <w:tcW w:w="4276" w:type="dxa"/>
            <w:gridSpan w:val="4"/>
          </w:tcPr>
          <w:p>
            <w:pPr>
              <w:rPr>
                <w:sz w:val="18"/>
                <w:szCs w:val="18"/>
              </w:rPr>
            </w:pPr>
            <w:r>
              <w:rPr>
                <w:rFonts w:hint="eastAsia"/>
                <w:sz w:val="18"/>
                <w:szCs w:val="18"/>
              </w:rPr>
              <w:t>符合第二章“投标人须知”第</w:t>
            </w:r>
            <w:r>
              <w:rPr>
                <w:sz w:val="18"/>
                <w:szCs w:val="18"/>
              </w:rPr>
              <w:t xml:space="preserve">1.4.1 </w:t>
            </w:r>
            <w:r>
              <w:rPr>
                <w:rFonts w:hint="eastAsia"/>
                <w:sz w:val="18"/>
                <w:szCs w:val="18"/>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rPr>
                <w:sz w:val="18"/>
                <w:szCs w:val="18"/>
              </w:rPr>
            </w:pPr>
          </w:p>
        </w:tc>
        <w:tc>
          <w:tcPr>
            <w:tcW w:w="900" w:type="dxa"/>
            <w:vMerge w:val="continue"/>
            <w:vAlign w:val="center"/>
          </w:tcPr>
          <w:p>
            <w:pPr>
              <w:rPr>
                <w:sz w:val="18"/>
                <w:szCs w:val="18"/>
              </w:rPr>
            </w:pPr>
          </w:p>
        </w:tc>
        <w:tc>
          <w:tcPr>
            <w:tcW w:w="2518" w:type="dxa"/>
            <w:gridSpan w:val="3"/>
            <w:vAlign w:val="center"/>
          </w:tcPr>
          <w:p>
            <w:pPr>
              <w:rPr>
                <w:sz w:val="18"/>
                <w:szCs w:val="18"/>
              </w:rPr>
            </w:pPr>
            <w:r>
              <w:rPr>
                <w:rFonts w:hint="eastAsia"/>
                <w:sz w:val="18"/>
                <w:szCs w:val="18"/>
              </w:rPr>
              <w:t>项目负责人要求</w:t>
            </w:r>
          </w:p>
        </w:tc>
        <w:tc>
          <w:tcPr>
            <w:tcW w:w="4276" w:type="dxa"/>
            <w:gridSpan w:val="4"/>
          </w:tcPr>
          <w:p>
            <w:pPr>
              <w:rPr>
                <w:sz w:val="18"/>
                <w:szCs w:val="18"/>
              </w:rPr>
            </w:pPr>
            <w:r>
              <w:rPr>
                <w:rFonts w:hint="eastAsia"/>
                <w:sz w:val="18"/>
                <w:szCs w:val="18"/>
              </w:rPr>
              <w:t>符合第二章“投标人须知”第</w:t>
            </w:r>
            <w:r>
              <w:rPr>
                <w:sz w:val="18"/>
                <w:szCs w:val="18"/>
              </w:rPr>
              <w:t xml:space="preserve">1.4.1 </w:t>
            </w:r>
            <w:r>
              <w:rPr>
                <w:rFonts w:hint="eastAsia"/>
                <w:sz w:val="18"/>
                <w:szCs w:val="18"/>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rPr>
                <w:sz w:val="18"/>
                <w:szCs w:val="18"/>
              </w:rPr>
            </w:pPr>
          </w:p>
        </w:tc>
        <w:tc>
          <w:tcPr>
            <w:tcW w:w="900" w:type="dxa"/>
            <w:vMerge w:val="continue"/>
            <w:vAlign w:val="center"/>
          </w:tcPr>
          <w:p>
            <w:pPr>
              <w:rPr>
                <w:sz w:val="18"/>
                <w:szCs w:val="18"/>
              </w:rPr>
            </w:pPr>
          </w:p>
        </w:tc>
        <w:tc>
          <w:tcPr>
            <w:tcW w:w="2518" w:type="dxa"/>
            <w:gridSpan w:val="3"/>
            <w:vAlign w:val="center"/>
          </w:tcPr>
          <w:p>
            <w:pPr>
              <w:rPr>
                <w:sz w:val="18"/>
                <w:szCs w:val="18"/>
              </w:rPr>
            </w:pPr>
            <w:r>
              <w:rPr>
                <w:rFonts w:hint="eastAsia"/>
                <w:sz w:val="18"/>
                <w:szCs w:val="18"/>
              </w:rPr>
              <w:t>其他要求</w:t>
            </w:r>
          </w:p>
        </w:tc>
        <w:tc>
          <w:tcPr>
            <w:tcW w:w="4276" w:type="dxa"/>
            <w:gridSpan w:val="4"/>
          </w:tcPr>
          <w:p>
            <w:pPr>
              <w:rPr>
                <w:sz w:val="18"/>
                <w:szCs w:val="18"/>
              </w:rPr>
            </w:pPr>
            <w:r>
              <w:rPr>
                <w:rFonts w:hint="eastAsia"/>
                <w:sz w:val="18"/>
                <w:szCs w:val="18"/>
              </w:rPr>
              <w:t>符合第二章“投标人须知”第</w:t>
            </w:r>
            <w:r>
              <w:rPr>
                <w:sz w:val="18"/>
                <w:szCs w:val="18"/>
              </w:rPr>
              <w:t xml:space="preserve">1.4.1 </w:t>
            </w:r>
            <w:r>
              <w:rPr>
                <w:rFonts w:hint="eastAsia"/>
                <w:sz w:val="18"/>
                <w:szCs w:val="18"/>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28" w:type="dxa"/>
            <w:vMerge w:val="continue"/>
            <w:vAlign w:val="center"/>
          </w:tcPr>
          <w:p>
            <w:pPr>
              <w:rPr>
                <w:sz w:val="18"/>
                <w:szCs w:val="18"/>
              </w:rPr>
            </w:pPr>
          </w:p>
        </w:tc>
        <w:tc>
          <w:tcPr>
            <w:tcW w:w="900" w:type="dxa"/>
            <w:vMerge w:val="continue"/>
            <w:vAlign w:val="center"/>
          </w:tcPr>
          <w:p>
            <w:pPr>
              <w:rPr>
                <w:sz w:val="18"/>
                <w:szCs w:val="18"/>
              </w:rPr>
            </w:pPr>
          </w:p>
        </w:tc>
        <w:tc>
          <w:tcPr>
            <w:tcW w:w="2518" w:type="dxa"/>
            <w:gridSpan w:val="3"/>
            <w:vAlign w:val="center"/>
          </w:tcPr>
          <w:p>
            <w:pPr>
              <w:rPr>
                <w:sz w:val="18"/>
                <w:szCs w:val="18"/>
              </w:rPr>
            </w:pPr>
            <w:r>
              <w:rPr>
                <w:rFonts w:hint="eastAsia"/>
                <w:sz w:val="18"/>
                <w:szCs w:val="18"/>
              </w:rPr>
              <w:t>投标人资格</w:t>
            </w:r>
          </w:p>
        </w:tc>
        <w:tc>
          <w:tcPr>
            <w:tcW w:w="4276" w:type="dxa"/>
            <w:gridSpan w:val="4"/>
            <w:vAlign w:val="center"/>
          </w:tcPr>
          <w:p>
            <w:pPr>
              <w:rPr>
                <w:sz w:val="18"/>
                <w:szCs w:val="18"/>
              </w:rPr>
            </w:pPr>
            <w:r>
              <w:rPr>
                <w:rFonts w:hint="eastAsia"/>
                <w:sz w:val="18"/>
                <w:szCs w:val="18"/>
              </w:rPr>
              <w:t>不存在第一章“招标公告”第</w:t>
            </w:r>
            <w:r>
              <w:rPr>
                <w:sz w:val="18"/>
                <w:szCs w:val="18"/>
              </w:rPr>
              <w:t xml:space="preserve"> 3.</w:t>
            </w:r>
            <w:r>
              <w:rPr>
                <w:rFonts w:hint="eastAsia"/>
                <w:sz w:val="18"/>
                <w:szCs w:val="18"/>
              </w:rPr>
              <w:t>7</w:t>
            </w:r>
            <w:r>
              <w:rPr>
                <w:sz w:val="18"/>
                <w:szCs w:val="18"/>
              </w:rPr>
              <w:t xml:space="preserve"> </w:t>
            </w:r>
            <w:r>
              <w:rPr>
                <w:rFonts w:hint="eastAsia"/>
                <w:sz w:val="18"/>
                <w:szCs w:val="18"/>
              </w:rPr>
              <w:t>项及第二章“投标人须知”第</w:t>
            </w:r>
            <w:r>
              <w:rPr>
                <w:sz w:val="18"/>
                <w:szCs w:val="18"/>
              </w:rPr>
              <w:t xml:space="preserve"> 1.4.2 </w:t>
            </w:r>
            <w:r>
              <w:rPr>
                <w:rFonts w:hint="eastAsia"/>
                <w:sz w:val="18"/>
                <w:szCs w:val="18"/>
              </w:rPr>
              <w:t>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vAlign w:val="center"/>
          </w:tcPr>
          <w:p>
            <w:pPr>
              <w:rPr>
                <w:sz w:val="18"/>
                <w:szCs w:val="18"/>
              </w:rPr>
            </w:pPr>
            <w:r>
              <w:rPr>
                <w:spacing w:val="1"/>
                <w:kern w:val="0"/>
                <w:sz w:val="18"/>
                <w:szCs w:val="18"/>
              </w:rPr>
              <w:t>2</w:t>
            </w:r>
            <w:r>
              <w:rPr>
                <w:spacing w:val="-1"/>
                <w:kern w:val="0"/>
                <w:sz w:val="18"/>
                <w:szCs w:val="18"/>
              </w:rPr>
              <w:t>.</w:t>
            </w:r>
            <w:r>
              <w:rPr>
                <w:spacing w:val="1"/>
                <w:kern w:val="0"/>
                <w:sz w:val="18"/>
                <w:szCs w:val="18"/>
              </w:rPr>
              <w:t>1</w:t>
            </w:r>
            <w:r>
              <w:rPr>
                <w:spacing w:val="-1"/>
                <w:kern w:val="0"/>
                <w:sz w:val="18"/>
                <w:szCs w:val="18"/>
              </w:rPr>
              <w:t>.</w:t>
            </w:r>
            <w:r>
              <w:rPr>
                <w:kern w:val="0"/>
                <w:sz w:val="18"/>
                <w:szCs w:val="18"/>
              </w:rPr>
              <w:t>3</w:t>
            </w:r>
          </w:p>
        </w:tc>
        <w:tc>
          <w:tcPr>
            <w:tcW w:w="900" w:type="dxa"/>
            <w:vMerge w:val="restart"/>
            <w:vAlign w:val="center"/>
          </w:tcPr>
          <w:p>
            <w:pPr>
              <w:rPr>
                <w:sz w:val="18"/>
                <w:szCs w:val="18"/>
              </w:rPr>
            </w:pPr>
            <w:r>
              <w:rPr>
                <w:rFonts w:hint="eastAsia"/>
                <w:sz w:val="18"/>
                <w:szCs w:val="18"/>
              </w:rPr>
              <w:t>响应性</w:t>
            </w:r>
            <w:r>
              <w:rPr>
                <w:sz w:val="18"/>
                <w:szCs w:val="18"/>
              </w:rPr>
              <w:t xml:space="preserve"> </w:t>
            </w:r>
            <w:r>
              <w:rPr>
                <w:rFonts w:hint="eastAsia"/>
                <w:sz w:val="18"/>
                <w:szCs w:val="18"/>
              </w:rPr>
              <w:t>评审标</w:t>
            </w:r>
            <w:r>
              <w:rPr>
                <w:sz w:val="18"/>
                <w:szCs w:val="18"/>
              </w:rPr>
              <w:t xml:space="preserve"> </w:t>
            </w:r>
            <w:r>
              <w:rPr>
                <w:rFonts w:hint="eastAsia"/>
                <w:sz w:val="18"/>
                <w:szCs w:val="18"/>
              </w:rPr>
              <w:t>准</w:t>
            </w:r>
          </w:p>
        </w:tc>
        <w:tc>
          <w:tcPr>
            <w:tcW w:w="2518" w:type="dxa"/>
            <w:gridSpan w:val="3"/>
            <w:vAlign w:val="center"/>
          </w:tcPr>
          <w:p>
            <w:pPr>
              <w:rPr>
                <w:sz w:val="18"/>
                <w:szCs w:val="18"/>
              </w:rPr>
            </w:pPr>
            <w:r>
              <w:rPr>
                <w:rFonts w:hint="eastAsia"/>
                <w:sz w:val="18"/>
                <w:szCs w:val="18"/>
              </w:rPr>
              <w:t>投标内容</w:t>
            </w:r>
          </w:p>
        </w:tc>
        <w:tc>
          <w:tcPr>
            <w:tcW w:w="4276" w:type="dxa"/>
            <w:gridSpan w:val="4"/>
          </w:tcPr>
          <w:p>
            <w:pPr>
              <w:rPr>
                <w:sz w:val="18"/>
                <w:szCs w:val="18"/>
              </w:rPr>
            </w:pPr>
            <w:r>
              <w:rPr>
                <w:rFonts w:hint="eastAsia"/>
                <w:sz w:val="18"/>
                <w:szCs w:val="18"/>
              </w:rPr>
              <w:t>符合第二章“投标人须知”第</w:t>
            </w:r>
            <w:r>
              <w:rPr>
                <w:sz w:val="18"/>
                <w:szCs w:val="18"/>
              </w:rPr>
              <w:t xml:space="preserve">1.3.1 </w:t>
            </w:r>
            <w:r>
              <w:rPr>
                <w:rFonts w:hint="eastAsia"/>
                <w:sz w:val="18"/>
                <w:szCs w:val="18"/>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rPr>
                <w:sz w:val="18"/>
                <w:szCs w:val="18"/>
              </w:rPr>
            </w:pPr>
          </w:p>
        </w:tc>
        <w:tc>
          <w:tcPr>
            <w:tcW w:w="900" w:type="dxa"/>
            <w:vMerge w:val="continue"/>
            <w:vAlign w:val="center"/>
          </w:tcPr>
          <w:p>
            <w:pPr>
              <w:rPr>
                <w:sz w:val="18"/>
                <w:szCs w:val="18"/>
              </w:rPr>
            </w:pPr>
          </w:p>
        </w:tc>
        <w:tc>
          <w:tcPr>
            <w:tcW w:w="2518" w:type="dxa"/>
            <w:gridSpan w:val="3"/>
            <w:vAlign w:val="center"/>
          </w:tcPr>
          <w:p>
            <w:pPr>
              <w:rPr>
                <w:sz w:val="18"/>
                <w:szCs w:val="18"/>
              </w:rPr>
            </w:pPr>
            <w:r>
              <w:rPr>
                <w:rFonts w:hint="eastAsia"/>
                <w:sz w:val="18"/>
                <w:szCs w:val="18"/>
              </w:rPr>
              <w:t>服务周期</w:t>
            </w:r>
          </w:p>
        </w:tc>
        <w:tc>
          <w:tcPr>
            <w:tcW w:w="4276" w:type="dxa"/>
            <w:gridSpan w:val="4"/>
          </w:tcPr>
          <w:p>
            <w:pPr>
              <w:rPr>
                <w:b/>
                <w:sz w:val="18"/>
                <w:szCs w:val="18"/>
              </w:rPr>
            </w:pPr>
            <w:r>
              <w:rPr>
                <w:rFonts w:hint="eastAsia"/>
                <w:sz w:val="18"/>
                <w:szCs w:val="18"/>
              </w:rPr>
              <w:t>符合第二章“投标人须知”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rPr>
                <w:sz w:val="18"/>
                <w:szCs w:val="18"/>
              </w:rPr>
            </w:pPr>
          </w:p>
        </w:tc>
        <w:tc>
          <w:tcPr>
            <w:tcW w:w="900" w:type="dxa"/>
            <w:vMerge w:val="continue"/>
            <w:vAlign w:val="center"/>
          </w:tcPr>
          <w:p>
            <w:pPr>
              <w:rPr>
                <w:sz w:val="18"/>
                <w:szCs w:val="18"/>
              </w:rPr>
            </w:pPr>
          </w:p>
        </w:tc>
        <w:tc>
          <w:tcPr>
            <w:tcW w:w="2518" w:type="dxa"/>
            <w:gridSpan w:val="3"/>
            <w:vAlign w:val="center"/>
          </w:tcPr>
          <w:p>
            <w:pPr>
              <w:rPr>
                <w:sz w:val="18"/>
                <w:szCs w:val="18"/>
              </w:rPr>
            </w:pPr>
            <w:r>
              <w:rPr>
                <w:rFonts w:hint="eastAsia"/>
                <w:sz w:val="18"/>
                <w:szCs w:val="18"/>
              </w:rPr>
              <w:t>质量</w:t>
            </w:r>
          </w:p>
        </w:tc>
        <w:tc>
          <w:tcPr>
            <w:tcW w:w="4276" w:type="dxa"/>
            <w:gridSpan w:val="4"/>
          </w:tcPr>
          <w:p>
            <w:pPr>
              <w:rPr>
                <w:sz w:val="18"/>
                <w:szCs w:val="18"/>
              </w:rPr>
            </w:pPr>
            <w:r>
              <w:rPr>
                <w:rFonts w:hint="eastAsia"/>
                <w:sz w:val="18"/>
                <w:szCs w:val="18"/>
              </w:rPr>
              <w:t>符合第二章“投标人须知”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rPr>
                <w:sz w:val="18"/>
                <w:szCs w:val="18"/>
              </w:rPr>
            </w:pPr>
          </w:p>
        </w:tc>
        <w:tc>
          <w:tcPr>
            <w:tcW w:w="900" w:type="dxa"/>
            <w:vMerge w:val="continue"/>
            <w:vAlign w:val="center"/>
          </w:tcPr>
          <w:p>
            <w:pPr>
              <w:rPr>
                <w:sz w:val="18"/>
                <w:szCs w:val="18"/>
              </w:rPr>
            </w:pPr>
          </w:p>
        </w:tc>
        <w:tc>
          <w:tcPr>
            <w:tcW w:w="2518" w:type="dxa"/>
            <w:gridSpan w:val="3"/>
            <w:vAlign w:val="center"/>
          </w:tcPr>
          <w:p>
            <w:pPr>
              <w:rPr>
                <w:sz w:val="18"/>
                <w:szCs w:val="18"/>
              </w:rPr>
            </w:pPr>
            <w:r>
              <w:rPr>
                <w:rFonts w:hint="eastAsia"/>
                <w:sz w:val="18"/>
                <w:szCs w:val="18"/>
              </w:rPr>
              <w:t>投标有效期</w:t>
            </w:r>
          </w:p>
        </w:tc>
        <w:tc>
          <w:tcPr>
            <w:tcW w:w="4276" w:type="dxa"/>
            <w:gridSpan w:val="4"/>
          </w:tcPr>
          <w:p>
            <w:pPr>
              <w:rPr>
                <w:sz w:val="18"/>
                <w:szCs w:val="18"/>
              </w:rPr>
            </w:pPr>
            <w:r>
              <w:rPr>
                <w:rFonts w:hint="eastAsia"/>
                <w:sz w:val="18"/>
                <w:szCs w:val="18"/>
              </w:rPr>
              <w:t>递交投标文件截止之日起的</w:t>
            </w:r>
            <w:r>
              <w:rPr>
                <w:sz w:val="18"/>
                <w:szCs w:val="18"/>
              </w:rPr>
              <w:t>90</w:t>
            </w:r>
            <w:r>
              <w:rPr>
                <w:rFonts w:hint="eastAsia"/>
                <w:sz w:val="18"/>
                <w:szCs w:val="1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vAlign w:val="center"/>
          </w:tcPr>
          <w:p>
            <w:pPr>
              <w:rPr>
                <w:sz w:val="18"/>
                <w:szCs w:val="18"/>
              </w:rPr>
            </w:pPr>
          </w:p>
        </w:tc>
        <w:tc>
          <w:tcPr>
            <w:tcW w:w="900" w:type="dxa"/>
            <w:vMerge w:val="continue"/>
            <w:vAlign w:val="center"/>
          </w:tcPr>
          <w:p>
            <w:pPr>
              <w:rPr>
                <w:sz w:val="18"/>
                <w:szCs w:val="18"/>
              </w:rPr>
            </w:pPr>
          </w:p>
        </w:tc>
        <w:tc>
          <w:tcPr>
            <w:tcW w:w="2518" w:type="dxa"/>
            <w:gridSpan w:val="3"/>
            <w:vAlign w:val="center"/>
          </w:tcPr>
          <w:p>
            <w:pPr>
              <w:rPr>
                <w:sz w:val="18"/>
                <w:szCs w:val="18"/>
              </w:rPr>
            </w:pPr>
            <w:r>
              <w:rPr>
                <w:rFonts w:hint="eastAsia"/>
                <w:sz w:val="18"/>
                <w:szCs w:val="18"/>
              </w:rPr>
              <w:t>权利义务</w:t>
            </w:r>
          </w:p>
        </w:tc>
        <w:tc>
          <w:tcPr>
            <w:tcW w:w="4276" w:type="dxa"/>
            <w:gridSpan w:val="4"/>
          </w:tcPr>
          <w:p>
            <w:pPr>
              <w:rPr>
                <w:sz w:val="18"/>
                <w:szCs w:val="18"/>
              </w:rPr>
            </w:pPr>
            <w:r>
              <w:rPr>
                <w:rFonts w:hint="eastAsia"/>
                <w:sz w:val="18"/>
                <w:szCs w:val="18"/>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28" w:type="dxa"/>
            <w:vMerge w:val="continue"/>
            <w:vAlign w:val="center"/>
          </w:tcPr>
          <w:p>
            <w:pPr>
              <w:rPr>
                <w:sz w:val="18"/>
                <w:szCs w:val="18"/>
              </w:rPr>
            </w:pPr>
          </w:p>
        </w:tc>
        <w:tc>
          <w:tcPr>
            <w:tcW w:w="900" w:type="dxa"/>
            <w:vMerge w:val="continue"/>
            <w:vAlign w:val="center"/>
          </w:tcPr>
          <w:p>
            <w:pPr>
              <w:rPr>
                <w:sz w:val="18"/>
                <w:szCs w:val="18"/>
              </w:rPr>
            </w:pPr>
          </w:p>
        </w:tc>
        <w:tc>
          <w:tcPr>
            <w:tcW w:w="2518" w:type="dxa"/>
            <w:gridSpan w:val="3"/>
            <w:vAlign w:val="center"/>
          </w:tcPr>
          <w:p>
            <w:pPr>
              <w:rPr>
                <w:sz w:val="18"/>
                <w:szCs w:val="18"/>
              </w:rPr>
            </w:pPr>
          </w:p>
        </w:tc>
        <w:tc>
          <w:tcPr>
            <w:tcW w:w="4276" w:type="dxa"/>
            <w:gridSpan w:val="4"/>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28" w:type="dxa"/>
            <w:gridSpan w:val="2"/>
            <w:vAlign w:val="center"/>
          </w:tcPr>
          <w:p>
            <w:pPr>
              <w:rPr>
                <w:sz w:val="18"/>
                <w:szCs w:val="18"/>
              </w:rPr>
            </w:pPr>
            <w:r>
              <w:rPr>
                <w:rFonts w:hint="eastAsia" w:ascii="宋体" w:cs="宋体"/>
                <w:kern w:val="0"/>
                <w:sz w:val="18"/>
                <w:szCs w:val="18"/>
              </w:rPr>
              <w:t>条款号</w:t>
            </w:r>
          </w:p>
        </w:tc>
        <w:tc>
          <w:tcPr>
            <w:tcW w:w="2518" w:type="dxa"/>
            <w:gridSpan w:val="3"/>
            <w:vAlign w:val="center"/>
          </w:tcPr>
          <w:p>
            <w:pPr>
              <w:rPr>
                <w:sz w:val="18"/>
                <w:szCs w:val="18"/>
              </w:rPr>
            </w:pPr>
            <w:r>
              <w:rPr>
                <w:rFonts w:hint="eastAsia" w:ascii="宋体" w:cs="宋体"/>
                <w:kern w:val="0"/>
                <w:sz w:val="18"/>
                <w:szCs w:val="18"/>
              </w:rPr>
              <w:t>条款内容</w:t>
            </w:r>
          </w:p>
        </w:tc>
        <w:tc>
          <w:tcPr>
            <w:tcW w:w="4276" w:type="dxa"/>
            <w:gridSpan w:val="4"/>
          </w:tcPr>
          <w:p>
            <w:pPr>
              <w:rPr>
                <w:sz w:val="18"/>
                <w:szCs w:val="18"/>
              </w:rPr>
            </w:pPr>
            <w:r>
              <w:rPr>
                <w:rFonts w:hint="eastAsia" w:ascii="宋体" w:cs="宋体"/>
                <w:kern w:val="0"/>
                <w:sz w:val="18"/>
                <w:szCs w:val="1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vMerge w:val="restart"/>
            <w:vAlign w:val="center"/>
          </w:tcPr>
          <w:p>
            <w:pPr>
              <w:rPr>
                <w:sz w:val="18"/>
                <w:szCs w:val="18"/>
              </w:rPr>
            </w:pPr>
            <w:r>
              <w:rPr>
                <w:spacing w:val="1"/>
                <w:kern w:val="0"/>
                <w:sz w:val="20"/>
                <w:szCs w:val="20"/>
              </w:rPr>
              <w:t>2</w:t>
            </w:r>
            <w:r>
              <w:rPr>
                <w:spacing w:val="-1"/>
                <w:kern w:val="0"/>
                <w:sz w:val="20"/>
                <w:szCs w:val="20"/>
              </w:rPr>
              <w:t>.</w:t>
            </w:r>
            <w:r>
              <w:rPr>
                <w:spacing w:val="1"/>
                <w:kern w:val="0"/>
                <w:sz w:val="20"/>
                <w:szCs w:val="20"/>
              </w:rPr>
              <w:t>2</w:t>
            </w:r>
            <w:r>
              <w:rPr>
                <w:spacing w:val="-1"/>
                <w:kern w:val="0"/>
                <w:sz w:val="20"/>
                <w:szCs w:val="20"/>
              </w:rPr>
              <w:t>.</w:t>
            </w:r>
            <w:r>
              <w:rPr>
                <w:kern w:val="0"/>
                <w:sz w:val="20"/>
                <w:szCs w:val="20"/>
              </w:rPr>
              <w:t>1</w:t>
            </w:r>
          </w:p>
        </w:tc>
        <w:tc>
          <w:tcPr>
            <w:tcW w:w="2518" w:type="dxa"/>
            <w:gridSpan w:val="3"/>
            <w:vMerge w:val="restart"/>
            <w:vAlign w:val="center"/>
          </w:tcPr>
          <w:p>
            <w:pPr>
              <w:rPr>
                <w:sz w:val="18"/>
                <w:szCs w:val="18"/>
              </w:rPr>
            </w:pPr>
            <w:r>
              <w:rPr>
                <w:rFonts w:hint="eastAsia"/>
                <w:sz w:val="18"/>
                <w:szCs w:val="18"/>
              </w:rPr>
              <w:t>分值构成</w:t>
            </w:r>
            <w:r>
              <w:rPr>
                <w:sz w:val="18"/>
                <w:szCs w:val="18"/>
              </w:rPr>
              <w:t>(</w:t>
            </w:r>
            <w:r>
              <w:rPr>
                <w:rFonts w:hint="eastAsia"/>
                <w:sz w:val="18"/>
                <w:szCs w:val="18"/>
              </w:rPr>
              <w:t>总分</w:t>
            </w:r>
            <w:r>
              <w:rPr>
                <w:sz w:val="18"/>
                <w:szCs w:val="18"/>
              </w:rPr>
              <w:t xml:space="preserve">100 </w:t>
            </w:r>
            <w:r>
              <w:rPr>
                <w:rFonts w:hint="eastAsia"/>
                <w:sz w:val="18"/>
                <w:szCs w:val="18"/>
              </w:rPr>
              <w:t>分</w:t>
            </w:r>
            <w:r>
              <w:rPr>
                <w:sz w:val="18"/>
                <w:szCs w:val="18"/>
              </w:rPr>
              <w:t>)</w:t>
            </w:r>
          </w:p>
        </w:tc>
        <w:tc>
          <w:tcPr>
            <w:tcW w:w="3062" w:type="dxa"/>
            <w:gridSpan w:val="3"/>
          </w:tcPr>
          <w:p>
            <w:pPr>
              <w:rPr>
                <w:sz w:val="18"/>
                <w:szCs w:val="18"/>
              </w:rPr>
            </w:pPr>
            <w:r>
              <w:rPr>
                <w:rFonts w:hint="eastAsia" w:ascii="宋体" w:cs="宋体"/>
                <w:kern w:val="0"/>
                <w:position w:val="-2"/>
                <w:sz w:val="18"/>
                <w:szCs w:val="18"/>
              </w:rPr>
              <w:t>评分因素</w:t>
            </w:r>
          </w:p>
        </w:tc>
        <w:tc>
          <w:tcPr>
            <w:tcW w:w="1214" w:type="dxa"/>
          </w:tcPr>
          <w:p>
            <w:pPr>
              <w:rPr>
                <w:sz w:val="18"/>
                <w:szCs w:val="18"/>
              </w:rPr>
            </w:pPr>
            <w:r>
              <w:rPr>
                <w:rFonts w:hint="eastAsia"/>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vMerge w:val="continue"/>
            <w:vAlign w:val="center"/>
          </w:tcPr>
          <w:p>
            <w:pPr>
              <w:rPr>
                <w:sz w:val="18"/>
                <w:szCs w:val="18"/>
              </w:rPr>
            </w:pPr>
          </w:p>
        </w:tc>
        <w:tc>
          <w:tcPr>
            <w:tcW w:w="2518" w:type="dxa"/>
            <w:gridSpan w:val="3"/>
            <w:vMerge w:val="continue"/>
            <w:vAlign w:val="center"/>
          </w:tcPr>
          <w:p>
            <w:pPr>
              <w:rPr>
                <w:sz w:val="18"/>
                <w:szCs w:val="18"/>
              </w:rPr>
            </w:pPr>
          </w:p>
        </w:tc>
        <w:tc>
          <w:tcPr>
            <w:tcW w:w="3062" w:type="dxa"/>
            <w:gridSpan w:val="3"/>
          </w:tcPr>
          <w:p>
            <w:pPr>
              <w:rPr>
                <w:sz w:val="18"/>
                <w:szCs w:val="18"/>
              </w:rPr>
            </w:pPr>
            <w:r>
              <w:rPr>
                <w:rFonts w:hint="eastAsia"/>
                <w:sz w:val="18"/>
                <w:szCs w:val="18"/>
              </w:rPr>
              <w:t>技术部分</w:t>
            </w:r>
          </w:p>
        </w:tc>
        <w:tc>
          <w:tcPr>
            <w:tcW w:w="1214" w:type="dxa"/>
          </w:tcPr>
          <w:p>
            <w:pPr>
              <w:rPr>
                <w:sz w:val="18"/>
                <w:szCs w:val="18"/>
              </w:rPr>
            </w:pPr>
            <w:r>
              <w:rPr>
                <w:rFonts w:hint="eastAsia"/>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vMerge w:val="continue"/>
            <w:vAlign w:val="center"/>
          </w:tcPr>
          <w:p>
            <w:pPr>
              <w:rPr>
                <w:sz w:val="18"/>
                <w:szCs w:val="18"/>
              </w:rPr>
            </w:pPr>
          </w:p>
        </w:tc>
        <w:tc>
          <w:tcPr>
            <w:tcW w:w="2518" w:type="dxa"/>
            <w:gridSpan w:val="3"/>
            <w:vMerge w:val="continue"/>
            <w:vAlign w:val="center"/>
          </w:tcPr>
          <w:p>
            <w:pPr>
              <w:rPr>
                <w:sz w:val="18"/>
                <w:szCs w:val="18"/>
              </w:rPr>
            </w:pPr>
          </w:p>
        </w:tc>
        <w:tc>
          <w:tcPr>
            <w:tcW w:w="3062" w:type="dxa"/>
            <w:gridSpan w:val="3"/>
          </w:tcPr>
          <w:p>
            <w:pPr>
              <w:rPr>
                <w:sz w:val="18"/>
                <w:szCs w:val="18"/>
              </w:rPr>
            </w:pPr>
            <w:r>
              <w:rPr>
                <w:rFonts w:hint="eastAsia"/>
                <w:sz w:val="18"/>
                <w:szCs w:val="18"/>
              </w:rPr>
              <w:t>商务部分</w:t>
            </w:r>
          </w:p>
        </w:tc>
        <w:tc>
          <w:tcPr>
            <w:tcW w:w="1214" w:type="dxa"/>
          </w:tcPr>
          <w:p>
            <w:pPr>
              <w:rPr>
                <w:sz w:val="18"/>
                <w:szCs w:val="18"/>
              </w:rPr>
            </w:pPr>
            <w:r>
              <w:rPr>
                <w:rFonts w:hint="eastAsia"/>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vMerge w:val="continue"/>
            <w:vAlign w:val="center"/>
          </w:tcPr>
          <w:p>
            <w:pPr>
              <w:rPr>
                <w:sz w:val="18"/>
                <w:szCs w:val="18"/>
              </w:rPr>
            </w:pPr>
          </w:p>
        </w:tc>
        <w:tc>
          <w:tcPr>
            <w:tcW w:w="2518" w:type="dxa"/>
            <w:gridSpan w:val="3"/>
            <w:vMerge w:val="continue"/>
            <w:vAlign w:val="center"/>
          </w:tcPr>
          <w:p>
            <w:pPr>
              <w:rPr>
                <w:sz w:val="18"/>
                <w:szCs w:val="18"/>
              </w:rPr>
            </w:pPr>
          </w:p>
        </w:tc>
        <w:tc>
          <w:tcPr>
            <w:tcW w:w="3062" w:type="dxa"/>
            <w:gridSpan w:val="3"/>
          </w:tcPr>
          <w:p>
            <w:pPr>
              <w:rPr>
                <w:sz w:val="18"/>
                <w:szCs w:val="18"/>
              </w:rPr>
            </w:pPr>
            <w:r>
              <w:rPr>
                <w:rFonts w:hint="eastAsia"/>
                <w:sz w:val="18"/>
                <w:szCs w:val="18"/>
              </w:rPr>
              <w:t>投标报价</w:t>
            </w:r>
          </w:p>
        </w:tc>
        <w:tc>
          <w:tcPr>
            <w:tcW w:w="1214" w:type="dxa"/>
          </w:tcPr>
          <w:p>
            <w:pPr>
              <w:rPr>
                <w:sz w:val="18"/>
                <w:szCs w:val="18"/>
              </w:rPr>
            </w:pPr>
            <w:r>
              <w:rPr>
                <w:rFonts w:hint="eastAsia"/>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vMerge w:val="continue"/>
            <w:vAlign w:val="center"/>
          </w:tcPr>
          <w:p>
            <w:pPr>
              <w:rPr>
                <w:sz w:val="18"/>
                <w:szCs w:val="18"/>
              </w:rPr>
            </w:pPr>
          </w:p>
        </w:tc>
        <w:tc>
          <w:tcPr>
            <w:tcW w:w="2518" w:type="dxa"/>
            <w:gridSpan w:val="3"/>
            <w:vMerge w:val="continue"/>
            <w:vAlign w:val="center"/>
          </w:tcPr>
          <w:p>
            <w:pPr>
              <w:rPr>
                <w:sz w:val="18"/>
                <w:szCs w:val="18"/>
              </w:rPr>
            </w:pPr>
          </w:p>
        </w:tc>
        <w:tc>
          <w:tcPr>
            <w:tcW w:w="3062" w:type="dxa"/>
            <w:gridSpan w:val="3"/>
          </w:tcPr>
          <w:p>
            <w:pPr>
              <w:rPr>
                <w:sz w:val="18"/>
                <w:szCs w:val="18"/>
              </w:rPr>
            </w:pPr>
          </w:p>
        </w:tc>
        <w:tc>
          <w:tcPr>
            <w:tcW w:w="1214" w:type="dxa"/>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vAlign w:val="center"/>
          </w:tcPr>
          <w:p>
            <w:pPr>
              <w:rPr>
                <w:sz w:val="18"/>
                <w:szCs w:val="18"/>
              </w:rPr>
            </w:pPr>
            <w:r>
              <w:rPr>
                <w:sz w:val="18"/>
                <w:szCs w:val="18"/>
              </w:rPr>
              <w:t>2.2.2</w:t>
            </w:r>
          </w:p>
        </w:tc>
        <w:tc>
          <w:tcPr>
            <w:tcW w:w="2518" w:type="dxa"/>
            <w:gridSpan w:val="3"/>
            <w:vAlign w:val="center"/>
          </w:tcPr>
          <w:p>
            <w:pPr>
              <w:rPr>
                <w:sz w:val="18"/>
                <w:szCs w:val="18"/>
              </w:rPr>
            </w:pPr>
            <w:r>
              <w:rPr>
                <w:rFonts w:hint="eastAsia"/>
                <w:sz w:val="18"/>
                <w:szCs w:val="18"/>
              </w:rPr>
              <w:t>评标基准价计算方法</w:t>
            </w:r>
          </w:p>
        </w:tc>
        <w:tc>
          <w:tcPr>
            <w:tcW w:w="4276" w:type="dxa"/>
            <w:gridSpan w:val="4"/>
          </w:tcPr>
          <w:p>
            <w:pPr>
              <w:rPr>
                <w:sz w:val="18"/>
                <w:szCs w:val="18"/>
              </w:rPr>
            </w:pPr>
            <w:r>
              <w:rPr>
                <w:rFonts w:hint="eastAsia"/>
                <w:sz w:val="18"/>
                <w:szCs w:val="18"/>
              </w:rPr>
              <w:t>评标价的计算步骤：</w:t>
            </w:r>
          </w:p>
          <w:p>
            <w:pPr>
              <w:rPr>
                <w:sz w:val="18"/>
                <w:szCs w:val="18"/>
              </w:rPr>
            </w:pPr>
            <w:r>
              <w:rPr>
                <w:rFonts w:hint="eastAsia"/>
                <w:sz w:val="18"/>
                <w:szCs w:val="18"/>
              </w:rPr>
              <w:t>（</w:t>
            </w:r>
            <w:r>
              <w:rPr>
                <w:sz w:val="18"/>
                <w:szCs w:val="18"/>
              </w:rPr>
              <w:t>1</w:t>
            </w:r>
            <w:r>
              <w:rPr>
                <w:rFonts w:hint="eastAsia"/>
                <w:sz w:val="18"/>
                <w:szCs w:val="18"/>
              </w:rPr>
              <w:t>）评标价的确定：评标价</w:t>
            </w:r>
            <w:r>
              <w:rPr>
                <w:sz w:val="18"/>
                <w:szCs w:val="18"/>
              </w:rPr>
              <w:t>=</w:t>
            </w:r>
            <w:r>
              <w:rPr>
                <w:rFonts w:hint="eastAsia"/>
                <w:sz w:val="18"/>
                <w:szCs w:val="18"/>
              </w:rPr>
              <w:t>投标函费率（带%）</w:t>
            </w:r>
          </w:p>
          <w:p>
            <w:pPr>
              <w:rPr>
                <w:sz w:val="18"/>
                <w:szCs w:val="18"/>
              </w:rPr>
            </w:pPr>
            <w:r>
              <w:rPr>
                <w:rFonts w:hint="eastAsia"/>
                <w:sz w:val="18"/>
                <w:szCs w:val="18"/>
              </w:rPr>
              <w:t>（</w:t>
            </w:r>
            <w:r>
              <w:rPr>
                <w:sz w:val="18"/>
                <w:szCs w:val="18"/>
              </w:rPr>
              <w:t>2</w:t>
            </w:r>
            <w:r>
              <w:rPr>
                <w:rFonts w:hint="eastAsia"/>
                <w:sz w:val="18"/>
                <w:szCs w:val="18"/>
              </w:rPr>
              <w:t>）有效评标价的确定所有通过本章第</w:t>
            </w:r>
            <w:r>
              <w:rPr>
                <w:sz w:val="18"/>
                <w:szCs w:val="18"/>
              </w:rPr>
              <w:t>2.1.1</w:t>
            </w:r>
            <w:r>
              <w:rPr>
                <w:rFonts w:hint="eastAsia"/>
                <w:sz w:val="18"/>
                <w:szCs w:val="18"/>
              </w:rPr>
              <w:t>、</w:t>
            </w:r>
            <w:r>
              <w:rPr>
                <w:sz w:val="18"/>
                <w:szCs w:val="18"/>
              </w:rPr>
              <w:t>2.1.2</w:t>
            </w:r>
            <w:r>
              <w:rPr>
                <w:rFonts w:hint="eastAsia"/>
                <w:sz w:val="18"/>
                <w:szCs w:val="18"/>
              </w:rPr>
              <w:t>、</w:t>
            </w:r>
            <w:r>
              <w:rPr>
                <w:sz w:val="18"/>
                <w:szCs w:val="18"/>
              </w:rPr>
              <w:t>2.1.3</w:t>
            </w:r>
            <w:r>
              <w:rPr>
                <w:rFonts w:hint="eastAsia"/>
                <w:sz w:val="18"/>
                <w:szCs w:val="18"/>
              </w:rPr>
              <w:t>项评审的投标文件的评标价为有效评标价</w:t>
            </w:r>
          </w:p>
          <w:p>
            <w:pPr>
              <w:rPr>
                <w:sz w:val="18"/>
                <w:szCs w:val="18"/>
              </w:rPr>
            </w:pPr>
            <w:r>
              <w:rPr>
                <w:rFonts w:hint="eastAsia"/>
                <w:sz w:val="18"/>
                <w:szCs w:val="18"/>
              </w:rPr>
              <w:t>（</w:t>
            </w:r>
            <w:r>
              <w:rPr>
                <w:sz w:val="18"/>
                <w:szCs w:val="18"/>
              </w:rPr>
              <w:t>3</w:t>
            </w:r>
            <w:r>
              <w:rPr>
                <w:rFonts w:hint="eastAsia"/>
                <w:sz w:val="18"/>
                <w:szCs w:val="18"/>
              </w:rPr>
              <w:t>）有效评标价平均值A的计算：所有有效评标价的算术平均值为有效评标价平均值；</w:t>
            </w:r>
          </w:p>
          <w:p>
            <w:pPr>
              <w:rPr>
                <w:sz w:val="18"/>
                <w:szCs w:val="18"/>
              </w:rPr>
            </w:pPr>
            <w:r>
              <w:rPr>
                <w:rFonts w:hint="eastAsia"/>
                <w:sz w:val="18"/>
                <w:szCs w:val="18"/>
              </w:rPr>
              <w:t>（</w:t>
            </w:r>
            <w:r>
              <w:rPr>
                <w:sz w:val="18"/>
                <w:szCs w:val="18"/>
              </w:rPr>
              <w:t>4</w:t>
            </w:r>
            <w:r>
              <w:rPr>
                <w:rFonts w:hint="eastAsia"/>
                <w:sz w:val="18"/>
                <w:szCs w:val="18"/>
              </w:rPr>
              <w:t>）评标基准价的确定：最高投标限价为B，则：评标基准价=A×Q1+B×Q2；Q2=1-Q1；Q1的取值范围为10%，15%，20%，25%，30%；Q1值在开标时由招标人随机抽取确定。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gridSpan w:val="2"/>
            <w:vAlign w:val="center"/>
          </w:tcPr>
          <w:p>
            <w:pPr>
              <w:rPr>
                <w:sz w:val="18"/>
                <w:szCs w:val="18"/>
              </w:rPr>
            </w:pPr>
            <w:r>
              <w:rPr>
                <w:sz w:val="18"/>
                <w:szCs w:val="18"/>
              </w:rPr>
              <w:t>2.2.3</w:t>
            </w:r>
          </w:p>
        </w:tc>
        <w:tc>
          <w:tcPr>
            <w:tcW w:w="2518" w:type="dxa"/>
            <w:gridSpan w:val="3"/>
            <w:vAlign w:val="center"/>
          </w:tcPr>
          <w:p>
            <w:pPr>
              <w:rPr>
                <w:sz w:val="18"/>
                <w:szCs w:val="18"/>
              </w:rPr>
            </w:pPr>
            <w:r>
              <w:rPr>
                <w:rFonts w:hint="eastAsia" w:ascii="宋体" w:cs="宋体"/>
                <w:kern w:val="0"/>
                <w:sz w:val="20"/>
                <w:szCs w:val="20"/>
              </w:rPr>
              <w:t>投标报</w:t>
            </w:r>
            <w:r>
              <w:rPr>
                <w:rFonts w:hint="eastAsia" w:ascii="宋体" w:cs="宋体"/>
                <w:spacing w:val="-1"/>
                <w:kern w:val="0"/>
                <w:sz w:val="20"/>
                <w:szCs w:val="20"/>
              </w:rPr>
              <w:t>价</w:t>
            </w:r>
            <w:r>
              <w:rPr>
                <w:rFonts w:hint="eastAsia" w:ascii="宋体" w:cs="宋体"/>
                <w:kern w:val="0"/>
                <w:sz w:val="20"/>
                <w:szCs w:val="20"/>
              </w:rPr>
              <w:t>的</w:t>
            </w:r>
            <w:r>
              <w:rPr>
                <w:rFonts w:hint="eastAsia" w:ascii="宋体" w:cs="宋体"/>
                <w:spacing w:val="-1"/>
                <w:kern w:val="0"/>
                <w:sz w:val="20"/>
                <w:szCs w:val="20"/>
              </w:rPr>
              <w:t>偏</w:t>
            </w:r>
            <w:r>
              <w:rPr>
                <w:rFonts w:hint="eastAsia" w:ascii="宋体" w:cs="宋体"/>
                <w:kern w:val="0"/>
                <w:sz w:val="20"/>
                <w:szCs w:val="20"/>
              </w:rPr>
              <w:t>差率计算公式</w:t>
            </w:r>
          </w:p>
        </w:tc>
        <w:tc>
          <w:tcPr>
            <w:tcW w:w="4276" w:type="dxa"/>
            <w:gridSpan w:val="4"/>
          </w:tcPr>
          <w:p>
            <w:pPr>
              <w:rPr>
                <w:sz w:val="18"/>
                <w:szCs w:val="18"/>
              </w:rPr>
            </w:pPr>
            <w:r>
              <w:rPr>
                <w:rFonts w:hint="eastAsia"/>
                <w:sz w:val="18"/>
                <w:szCs w:val="18"/>
              </w:rPr>
              <w:t>偏差率=100% ×（投标费率-基准费率）/基准费率。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vAlign w:val="center"/>
          </w:tcPr>
          <w:p>
            <w:pPr>
              <w:rPr>
                <w:sz w:val="18"/>
                <w:szCs w:val="18"/>
              </w:rPr>
            </w:pPr>
            <w:r>
              <w:rPr>
                <w:rFonts w:hint="eastAsia"/>
                <w:sz w:val="18"/>
                <w:szCs w:val="18"/>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28" w:type="dxa"/>
            <w:vAlign w:val="center"/>
          </w:tcPr>
          <w:p>
            <w:pPr>
              <w:rPr>
                <w:sz w:val="18"/>
                <w:szCs w:val="18"/>
              </w:rPr>
            </w:pPr>
            <w:r>
              <w:rPr>
                <w:rFonts w:hint="eastAsia"/>
                <w:sz w:val="18"/>
                <w:szCs w:val="18"/>
              </w:rPr>
              <w:t>条款号</w:t>
            </w:r>
          </w:p>
        </w:tc>
        <w:tc>
          <w:tcPr>
            <w:tcW w:w="1080" w:type="dxa"/>
            <w:gridSpan w:val="2"/>
            <w:vAlign w:val="center"/>
          </w:tcPr>
          <w:p>
            <w:pPr>
              <w:rPr>
                <w:sz w:val="18"/>
                <w:szCs w:val="18"/>
              </w:rPr>
            </w:pPr>
            <w:r>
              <w:rPr>
                <w:rFonts w:hint="eastAsia"/>
                <w:sz w:val="18"/>
                <w:szCs w:val="18"/>
              </w:rPr>
              <w:t>评分因素</w:t>
            </w:r>
          </w:p>
        </w:tc>
        <w:tc>
          <w:tcPr>
            <w:tcW w:w="720" w:type="dxa"/>
            <w:vAlign w:val="center"/>
          </w:tcPr>
          <w:p>
            <w:pPr>
              <w:rPr>
                <w:sz w:val="18"/>
                <w:szCs w:val="18"/>
              </w:rPr>
            </w:pPr>
            <w:r>
              <w:rPr>
                <w:rFonts w:hint="eastAsia"/>
                <w:sz w:val="18"/>
                <w:szCs w:val="18"/>
              </w:rPr>
              <w:t>分值权</w:t>
            </w:r>
            <w:r>
              <w:rPr>
                <w:sz w:val="18"/>
                <w:szCs w:val="18"/>
              </w:rPr>
              <w:t xml:space="preserve"> </w:t>
            </w:r>
            <w:r>
              <w:rPr>
                <w:rFonts w:hint="eastAsia"/>
                <w:sz w:val="18"/>
                <w:szCs w:val="18"/>
              </w:rPr>
              <w:t>重</w:t>
            </w:r>
          </w:p>
        </w:tc>
        <w:tc>
          <w:tcPr>
            <w:tcW w:w="2340" w:type="dxa"/>
            <w:gridSpan w:val="2"/>
            <w:vAlign w:val="center"/>
          </w:tcPr>
          <w:p>
            <w:pPr>
              <w:rPr>
                <w:sz w:val="18"/>
                <w:szCs w:val="18"/>
              </w:rPr>
            </w:pPr>
            <w:r>
              <w:rPr>
                <w:rFonts w:hint="eastAsia"/>
                <w:sz w:val="18"/>
                <w:szCs w:val="18"/>
              </w:rPr>
              <w:t>各评分因素细项</w:t>
            </w:r>
          </w:p>
        </w:tc>
        <w:tc>
          <w:tcPr>
            <w:tcW w:w="720" w:type="dxa"/>
            <w:vAlign w:val="center"/>
          </w:tcPr>
          <w:p>
            <w:pPr>
              <w:jc w:val="center"/>
              <w:rPr>
                <w:sz w:val="18"/>
                <w:szCs w:val="18"/>
              </w:rPr>
            </w:pPr>
            <w:r>
              <w:rPr>
                <w:rFonts w:hint="eastAsia"/>
                <w:sz w:val="18"/>
                <w:szCs w:val="18"/>
              </w:rPr>
              <w:t>分值</w:t>
            </w:r>
          </w:p>
        </w:tc>
        <w:tc>
          <w:tcPr>
            <w:tcW w:w="2834" w:type="dxa"/>
            <w:gridSpan w:val="2"/>
            <w:vAlign w:val="center"/>
          </w:tcPr>
          <w:p>
            <w:pPr>
              <w:jc w:val="center"/>
              <w:rPr>
                <w:sz w:val="18"/>
                <w:szCs w:val="18"/>
              </w:rPr>
            </w:pPr>
            <w:r>
              <w:rPr>
                <w:rFonts w:hint="eastAsia"/>
                <w:sz w:val="18"/>
                <w:szCs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828" w:type="dxa"/>
            <w:vMerge w:val="restart"/>
            <w:vAlign w:val="center"/>
          </w:tcPr>
          <w:p>
            <w:pPr>
              <w:rPr>
                <w:sz w:val="18"/>
                <w:szCs w:val="18"/>
              </w:rPr>
            </w:pPr>
            <w:r>
              <w:rPr>
                <w:sz w:val="18"/>
                <w:szCs w:val="18"/>
              </w:rPr>
              <w:t>2.2.4(1)</w:t>
            </w:r>
          </w:p>
        </w:tc>
        <w:tc>
          <w:tcPr>
            <w:tcW w:w="1080" w:type="dxa"/>
            <w:gridSpan w:val="2"/>
            <w:vMerge w:val="restart"/>
            <w:vAlign w:val="center"/>
          </w:tcPr>
          <w:p>
            <w:pPr>
              <w:rPr>
                <w:sz w:val="18"/>
                <w:szCs w:val="18"/>
              </w:rPr>
            </w:pPr>
            <w:r>
              <w:rPr>
                <w:rFonts w:hint="eastAsia"/>
                <w:sz w:val="18"/>
                <w:szCs w:val="18"/>
              </w:rPr>
              <w:t>技术部分</w:t>
            </w:r>
          </w:p>
        </w:tc>
        <w:tc>
          <w:tcPr>
            <w:tcW w:w="720" w:type="dxa"/>
            <w:vMerge w:val="restart"/>
            <w:vAlign w:val="center"/>
          </w:tcPr>
          <w:p>
            <w:pPr>
              <w:rPr>
                <w:sz w:val="18"/>
                <w:szCs w:val="18"/>
              </w:rPr>
            </w:pPr>
            <w:r>
              <w:rPr>
                <w:rFonts w:hint="eastAsia"/>
                <w:sz w:val="18"/>
                <w:szCs w:val="18"/>
              </w:rPr>
              <w:t>35分</w:t>
            </w:r>
          </w:p>
        </w:tc>
        <w:tc>
          <w:tcPr>
            <w:tcW w:w="2340" w:type="dxa"/>
            <w:gridSpan w:val="2"/>
            <w:vAlign w:val="center"/>
          </w:tcPr>
          <w:p>
            <w:pPr>
              <w:rPr>
                <w:sz w:val="18"/>
                <w:szCs w:val="18"/>
              </w:rPr>
            </w:pPr>
            <w:r>
              <w:rPr>
                <w:rFonts w:hint="eastAsia"/>
                <w:sz w:val="18"/>
                <w:szCs w:val="18"/>
              </w:rPr>
              <w:t>服务方案</w:t>
            </w:r>
          </w:p>
        </w:tc>
        <w:tc>
          <w:tcPr>
            <w:tcW w:w="720" w:type="dxa"/>
            <w:vAlign w:val="center"/>
          </w:tcPr>
          <w:p>
            <w:pPr>
              <w:ind w:left="102"/>
              <w:rPr>
                <w:sz w:val="18"/>
                <w:szCs w:val="18"/>
              </w:rPr>
            </w:pPr>
            <w:r>
              <w:rPr>
                <w:rFonts w:hint="eastAsia"/>
                <w:sz w:val="18"/>
                <w:szCs w:val="18"/>
              </w:rPr>
              <w:t>25分</w:t>
            </w:r>
          </w:p>
        </w:tc>
        <w:tc>
          <w:tcPr>
            <w:tcW w:w="2834" w:type="dxa"/>
            <w:gridSpan w:val="2"/>
            <w:vAlign w:val="center"/>
          </w:tcPr>
          <w:p>
            <w:pPr>
              <w:rPr>
                <w:sz w:val="18"/>
                <w:szCs w:val="18"/>
              </w:rPr>
            </w:pPr>
            <w:r>
              <w:rPr>
                <w:rFonts w:hint="eastAsia"/>
                <w:sz w:val="18"/>
                <w:szCs w:val="18"/>
              </w:rPr>
              <w:t>招标代理的服务方案，包括本项目的难点分析和解决方案，招标工作流程和各阶段的质量控制，与工程建设各方的协调，与行政主管部门的衔接，法律支持，是否有过合作及合作期表现，相关承诺等进行评审。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828" w:type="dxa"/>
            <w:vMerge w:val="continue"/>
            <w:vAlign w:val="center"/>
          </w:tcPr>
          <w:p>
            <w:pPr>
              <w:rPr>
                <w:sz w:val="18"/>
                <w:szCs w:val="18"/>
              </w:rPr>
            </w:pPr>
          </w:p>
        </w:tc>
        <w:tc>
          <w:tcPr>
            <w:tcW w:w="1080" w:type="dxa"/>
            <w:gridSpan w:val="2"/>
            <w:vMerge w:val="continue"/>
            <w:vAlign w:val="center"/>
          </w:tcPr>
          <w:p>
            <w:pPr>
              <w:rPr>
                <w:sz w:val="18"/>
                <w:szCs w:val="18"/>
              </w:rPr>
            </w:pPr>
          </w:p>
        </w:tc>
        <w:tc>
          <w:tcPr>
            <w:tcW w:w="720" w:type="dxa"/>
            <w:vMerge w:val="continue"/>
            <w:vAlign w:val="center"/>
          </w:tcPr>
          <w:p>
            <w:pPr>
              <w:rPr>
                <w:sz w:val="18"/>
                <w:szCs w:val="18"/>
              </w:rPr>
            </w:pPr>
          </w:p>
        </w:tc>
        <w:tc>
          <w:tcPr>
            <w:tcW w:w="2340" w:type="dxa"/>
            <w:gridSpan w:val="2"/>
            <w:vAlign w:val="center"/>
          </w:tcPr>
          <w:p>
            <w:pPr>
              <w:rPr>
                <w:sz w:val="18"/>
                <w:szCs w:val="18"/>
              </w:rPr>
            </w:pPr>
            <w:r>
              <w:rPr>
                <w:rFonts w:hint="eastAsia"/>
                <w:sz w:val="18"/>
                <w:szCs w:val="18"/>
              </w:rPr>
              <w:t>代理工作团队的状况</w:t>
            </w:r>
          </w:p>
        </w:tc>
        <w:tc>
          <w:tcPr>
            <w:tcW w:w="720" w:type="dxa"/>
            <w:vAlign w:val="center"/>
          </w:tcPr>
          <w:p>
            <w:pPr>
              <w:ind w:left="102"/>
              <w:rPr>
                <w:sz w:val="18"/>
                <w:szCs w:val="18"/>
              </w:rPr>
            </w:pPr>
            <w:r>
              <w:rPr>
                <w:rFonts w:hint="eastAsia"/>
                <w:sz w:val="18"/>
                <w:szCs w:val="18"/>
              </w:rPr>
              <w:t>10分</w:t>
            </w:r>
          </w:p>
        </w:tc>
        <w:tc>
          <w:tcPr>
            <w:tcW w:w="2834" w:type="dxa"/>
            <w:gridSpan w:val="2"/>
            <w:vAlign w:val="center"/>
          </w:tcPr>
          <w:p>
            <w:pPr>
              <w:rPr>
                <w:sz w:val="18"/>
                <w:szCs w:val="18"/>
              </w:rPr>
            </w:pPr>
            <w:r>
              <w:rPr>
                <w:rFonts w:hint="eastAsia"/>
                <w:sz w:val="18"/>
                <w:szCs w:val="18"/>
              </w:rPr>
              <w:t>对团队工作人员的资质、职称、经历、业绩；工作团队的架构组织形式、工作方式等综合打分。满分10分，酌情赋分。</w:t>
            </w:r>
          </w:p>
          <w:p>
            <w:pPr>
              <w:rPr>
                <w:sz w:val="18"/>
                <w:szCs w:val="18"/>
              </w:rPr>
            </w:pPr>
            <w:r>
              <w:rPr>
                <w:rFonts w:hint="eastAsia"/>
                <w:sz w:val="18"/>
                <w:szCs w:val="18"/>
              </w:rPr>
              <w:t>拟投入项目组成员不少于10人，提供所有人员近6个月社保证明且持有江苏省招标代理从业人员工作牌，否则均不予认可。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28" w:type="dxa"/>
            <w:vMerge w:val="restart"/>
            <w:vAlign w:val="center"/>
          </w:tcPr>
          <w:p>
            <w:pPr>
              <w:rPr>
                <w:sz w:val="18"/>
                <w:szCs w:val="18"/>
              </w:rPr>
            </w:pPr>
            <w:r>
              <w:rPr>
                <w:sz w:val="18"/>
                <w:szCs w:val="18"/>
              </w:rPr>
              <w:t>2.2.4(2)</w:t>
            </w:r>
          </w:p>
        </w:tc>
        <w:tc>
          <w:tcPr>
            <w:tcW w:w="1080" w:type="dxa"/>
            <w:gridSpan w:val="2"/>
            <w:vMerge w:val="restart"/>
            <w:vAlign w:val="center"/>
          </w:tcPr>
          <w:p>
            <w:pPr>
              <w:rPr>
                <w:sz w:val="18"/>
                <w:szCs w:val="18"/>
              </w:rPr>
            </w:pPr>
            <w:r>
              <w:rPr>
                <w:rFonts w:hint="eastAsia"/>
                <w:sz w:val="18"/>
                <w:szCs w:val="18"/>
              </w:rPr>
              <w:t>商务部分</w:t>
            </w:r>
          </w:p>
        </w:tc>
        <w:tc>
          <w:tcPr>
            <w:tcW w:w="720" w:type="dxa"/>
            <w:vMerge w:val="restart"/>
            <w:vAlign w:val="center"/>
          </w:tcPr>
          <w:p>
            <w:pPr>
              <w:rPr>
                <w:sz w:val="18"/>
                <w:szCs w:val="18"/>
              </w:rPr>
            </w:pPr>
            <w:r>
              <w:rPr>
                <w:rFonts w:hint="eastAsia"/>
                <w:sz w:val="18"/>
                <w:szCs w:val="18"/>
              </w:rPr>
              <w:t>35分</w:t>
            </w:r>
          </w:p>
        </w:tc>
        <w:tc>
          <w:tcPr>
            <w:tcW w:w="2340" w:type="dxa"/>
            <w:gridSpan w:val="2"/>
            <w:vAlign w:val="center"/>
          </w:tcPr>
          <w:p>
            <w:pPr>
              <w:rPr>
                <w:sz w:val="18"/>
                <w:szCs w:val="18"/>
              </w:rPr>
            </w:pPr>
            <w:r>
              <w:rPr>
                <w:sz w:val="18"/>
                <w:szCs w:val="18"/>
              </w:rPr>
              <w:t>注册资本金</w:t>
            </w:r>
          </w:p>
        </w:tc>
        <w:tc>
          <w:tcPr>
            <w:tcW w:w="720" w:type="dxa"/>
            <w:vAlign w:val="center"/>
          </w:tcPr>
          <w:p>
            <w:pPr>
              <w:ind w:left="102"/>
              <w:rPr>
                <w:sz w:val="18"/>
                <w:szCs w:val="18"/>
              </w:rPr>
            </w:pPr>
            <w:r>
              <w:rPr>
                <w:rFonts w:hint="eastAsia"/>
                <w:sz w:val="18"/>
                <w:szCs w:val="18"/>
              </w:rPr>
              <w:t>4分</w:t>
            </w:r>
          </w:p>
        </w:tc>
        <w:tc>
          <w:tcPr>
            <w:tcW w:w="2834" w:type="dxa"/>
            <w:gridSpan w:val="2"/>
            <w:vAlign w:val="center"/>
          </w:tcPr>
          <w:p>
            <w:pPr>
              <w:rPr>
                <w:sz w:val="18"/>
                <w:szCs w:val="18"/>
              </w:rPr>
            </w:pPr>
            <w:r>
              <w:rPr>
                <w:rFonts w:hint="eastAsia"/>
                <w:sz w:val="18"/>
                <w:szCs w:val="18"/>
              </w:rPr>
              <w:t>投标人注册资本金1000万元以下得1分；1000万元（含）-2500万元（不含）得2分；2500万（含）-5000万元（不含）得3分；5000万元及以上得4分。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828" w:type="dxa"/>
            <w:vMerge w:val="continue"/>
            <w:vAlign w:val="center"/>
          </w:tcPr>
          <w:p>
            <w:pPr>
              <w:rPr>
                <w:sz w:val="18"/>
                <w:szCs w:val="18"/>
              </w:rPr>
            </w:pPr>
          </w:p>
        </w:tc>
        <w:tc>
          <w:tcPr>
            <w:tcW w:w="1080" w:type="dxa"/>
            <w:gridSpan w:val="2"/>
            <w:vMerge w:val="continue"/>
            <w:vAlign w:val="center"/>
          </w:tcPr>
          <w:p>
            <w:pPr>
              <w:rPr>
                <w:sz w:val="18"/>
                <w:szCs w:val="18"/>
              </w:rPr>
            </w:pPr>
          </w:p>
        </w:tc>
        <w:tc>
          <w:tcPr>
            <w:tcW w:w="720" w:type="dxa"/>
            <w:vMerge w:val="continue"/>
            <w:vAlign w:val="center"/>
          </w:tcPr>
          <w:p>
            <w:pPr>
              <w:rPr>
                <w:sz w:val="18"/>
                <w:szCs w:val="18"/>
              </w:rPr>
            </w:pPr>
          </w:p>
        </w:tc>
        <w:tc>
          <w:tcPr>
            <w:tcW w:w="2340" w:type="dxa"/>
            <w:gridSpan w:val="2"/>
            <w:vAlign w:val="center"/>
          </w:tcPr>
          <w:p>
            <w:pPr>
              <w:rPr>
                <w:sz w:val="18"/>
                <w:szCs w:val="18"/>
              </w:rPr>
            </w:pPr>
            <w:r>
              <w:rPr>
                <w:rFonts w:hint="eastAsia"/>
                <w:sz w:val="18"/>
                <w:szCs w:val="18"/>
              </w:rPr>
              <w:t>管理体系认证</w:t>
            </w:r>
          </w:p>
        </w:tc>
        <w:tc>
          <w:tcPr>
            <w:tcW w:w="720" w:type="dxa"/>
            <w:vAlign w:val="center"/>
          </w:tcPr>
          <w:p>
            <w:pPr>
              <w:ind w:left="102"/>
              <w:rPr>
                <w:sz w:val="18"/>
                <w:szCs w:val="18"/>
              </w:rPr>
            </w:pPr>
            <w:r>
              <w:rPr>
                <w:rFonts w:hint="eastAsia"/>
                <w:sz w:val="18"/>
                <w:szCs w:val="18"/>
              </w:rPr>
              <w:t>3分</w:t>
            </w:r>
          </w:p>
        </w:tc>
        <w:tc>
          <w:tcPr>
            <w:tcW w:w="2834" w:type="dxa"/>
            <w:gridSpan w:val="2"/>
            <w:vAlign w:val="center"/>
          </w:tcPr>
          <w:p>
            <w:pPr>
              <w:rPr>
                <w:sz w:val="18"/>
                <w:szCs w:val="18"/>
              </w:rPr>
            </w:pPr>
            <w:r>
              <w:rPr>
                <w:rFonts w:hint="eastAsia"/>
                <w:sz w:val="18"/>
                <w:szCs w:val="18"/>
              </w:rPr>
              <w:t>投标人同时具有且在有效期内的质量管理体系认证证书、环境管理体系认证证书、职业健康安全管理体系认证证书的得满分3分，每少一个扣1分，扣完为止。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828" w:type="dxa"/>
            <w:vMerge w:val="continue"/>
            <w:vAlign w:val="center"/>
          </w:tcPr>
          <w:p>
            <w:pPr>
              <w:rPr>
                <w:sz w:val="18"/>
                <w:szCs w:val="18"/>
              </w:rPr>
            </w:pPr>
          </w:p>
        </w:tc>
        <w:tc>
          <w:tcPr>
            <w:tcW w:w="1080" w:type="dxa"/>
            <w:gridSpan w:val="2"/>
            <w:vMerge w:val="continue"/>
            <w:vAlign w:val="center"/>
          </w:tcPr>
          <w:p>
            <w:pPr>
              <w:rPr>
                <w:sz w:val="18"/>
                <w:szCs w:val="18"/>
              </w:rPr>
            </w:pPr>
          </w:p>
        </w:tc>
        <w:tc>
          <w:tcPr>
            <w:tcW w:w="720" w:type="dxa"/>
            <w:vMerge w:val="continue"/>
            <w:vAlign w:val="center"/>
          </w:tcPr>
          <w:p>
            <w:pPr>
              <w:rPr>
                <w:sz w:val="18"/>
                <w:szCs w:val="18"/>
              </w:rPr>
            </w:pPr>
          </w:p>
        </w:tc>
        <w:tc>
          <w:tcPr>
            <w:tcW w:w="2340" w:type="dxa"/>
            <w:gridSpan w:val="2"/>
            <w:vAlign w:val="center"/>
          </w:tcPr>
          <w:p>
            <w:pPr>
              <w:rPr>
                <w:sz w:val="18"/>
                <w:szCs w:val="18"/>
              </w:rPr>
            </w:pPr>
            <w:r>
              <w:rPr>
                <w:rFonts w:hint="eastAsia"/>
                <w:sz w:val="18"/>
                <w:szCs w:val="18"/>
              </w:rPr>
              <w:t>规模和资信</w:t>
            </w:r>
          </w:p>
        </w:tc>
        <w:tc>
          <w:tcPr>
            <w:tcW w:w="720" w:type="dxa"/>
            <w:vAlign w:val="center"/>
          </w:tcPr>
          <w:p>
            <w:pPr>
              <w:ind w:left="102"/>
              <w:rPr>
                <w:sz w:val="18"/>
                <w:szCs w:val="18"/>
              </w:rPr>
            </w:pPr>
            <w:r>
              <w:rPr>
                <w:rFonts w:hint="eastAsia"/>
                <w:sz w:val="18"/>
                <w:szCs w:val="18"/>
              </w:rPr>
              <w:t>10分</w:t>
            </w:r>
          </w:p>
        </w:tc>
        <w:tc>
          <w:tcPr>
            <w:tcW w:w="2834" w:type="dxa"/>
            <w:gridSpan w:val="2"/>
            <w:vAlign w:val="center"/>
          </w:tcPr>
          <w:p>
            <w:pPr>
              <w:rPr>
                <w:sz w:val="18"/>
                <w:szCs w:val="18"/>
              </w:rPr>
            </w:pPr>
            <w:r>
              <w:rPr>
                <w:rFonts w:hint="eastAsia"/>
                <w:sz w:val="18"/>
                <w:szCs w:val="18"/>
              </w:rPr>
              <w:t>根据投标人的企业规模、业务范围、发展情况、财务状况（总资产、利润等）、经营信誉（诉讼、荣誉奖项等）、相关资质情况、自有评标场所软硬件设施等情况综合打分。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28" w:type="dxa"/>
            <w:vMerge w:val="continue"/>
            <w:vAlign w:val="center"/>
          </w:tcPr>
          <w:p>
            <w:pPr>
              <w:rPr>
                <w:sz w:val="18"/>
                <w:szCs w:val="18"/>
              </w:rPr>
            </w:pPr>
          </w:p>
        </w:tc>
        <w:tc>
          <w:tcPr>
            <w:tcW w:w="1080" w:type="dxa"/>
            <w:gridSpan w:val="2"/>
            <w:vMerge w:val="continue"/>
            <w:vAlign w:val="center"/>
          </w:tcPr>
          <w:p>
            <w:pPr>
              <w:rPr>
                <w:sz w:val="18"/>
                <w:szCs w:val="18"/>
              </w:rPr>
            </w:pPr>
          </w:p>
        </w:tc>
        <w:tc>
          <w:tcPr>
            <w:tcW w:w="720" w:type="dxa"/>
            <w:vMerge w:val="continue"/>
            <w:vAlign w:val="center"/>
          </w:tcPr>
          <w:p>
            <w:pPr>
              <w:rPr>
                <w:sz w:val="18"/>
                <w:szCs w:val="18"/>
              </w:rPr>
            </w:pPr>
          </w:p>
        </w:tc>
        <w:tc>
          <w:tcPr>
            <w:tcW w:w="2340" w:type="dxa"/>
            <w:gridSpan w:val="2"/>
            <w:vAlign w:val="center"/>
          </w:tcPr>
          <w:p>
            <w:pPr>
              <w:rPr>
                <w:sz w:val="18"/>
                <w:szCs w:val="18"/>
              </w:rPr>
            </w:pPr>
            <w:r>
              <w:rPr>
                <w:rFonts w:hint="eastAsia"/>
                <w:sz w:val="18"/>
                <w:szCs w:val="18"/>
              </w:rPr>
              <w:t>项目负责人经历</w:t>
            </w:r>
          </w:p>
        </w:tc>
        <w:tc>
          <w:tcPr>
            <w:tcW w:w="720" w:type="dxa"/>
            <w:vAlign w:val="center"/>
          </w:tcPr>
          <w:p>
            <w:pPr>
              <w:ind w:left="102"/>
              <w:rPr>
                <w:sz w:val="18"/>
                <w:szCs w:val="18"/>
              </w:rPr>
            </w:pPr>
            <w:r>
              <w:rPr>
                <w:rFonts w:hint="eastAsia"/>
                <w:sz w:val="18"/>
                <w:szCs w:val="18"/>
              </w:rPr>
              <w:t>8分</w:t>
            </w:r>
          </w:p>
        </w:tc>
        <w:tc>
          <w:tcPr>
            <w:tcW w:w="2834" w:type="dxa"/>
            <w:gridSpan w:val="2"/>
            <w:vAlign w:val="center"/>
          </w:tcPr>
          <w:p>
            <w:pPr>
              <w:rPr>
                <w:sz w:val="18"/>
                <w:szCs w:val="18"/>
              </w:rPr>
            </w:pPr>
            <w:r>
              <w:rPr>
                <w:rFonts w:hint="eastAsia"/>
                <w:sz w:val="18"/>
                <w:szCs w:val="18"/>
              </w:rPr>
              <w:t>（1）项目负责人每具备一个工程注册类证书得2分，最多加3分。</w:t>
            </w:r>
          </w:p>
          <w:p>
            <w:pPr>
              <w:rPr>
                <w:sz w:val="18"/>
                <w:szCs w:val="18"/>
              </w:rPr>
            </w:pPr>
            <w:r>
              <w:rPr>
                <w:rFonts w:hint="eastAsia"/>
                <w:sz w:val="18"/>
                <w:szCs w:val="18"/>
              </w:rPr>
              <w:t>（2）</w:t>
            </w:r>
            <w:r>
              <w:rPr>
                <w:rFonts w:hint="eastAsia"/>
                <w:b/>
                <w:sz w:val="18"/>
                <w:szCs w:val="18"/>
              </w:rPr>
              <w:t>标段1：</w:t>
            </w:r>
            <w:r>
              <w:rPr>
                <w:rFonts w:hint="eastAsia"/>
                <w:sz w:val="18"/>
                <w:szCs w:val="18"/>
              </w:rPr>
              <w:t>担任过建筑面积在5万平方米及以上的公共建筑（住宅、厂房除外）项目的招标代理负责人的，有1个得1分，最多得5分。</w:t>
            </w:r>
          </w:p>
          <w:p>
            <w:pPr>
              <w:rPr>
                <w:sz w:val="18"/>
                <w:szCs w:val="18"/>
              </w:rPr>
            </w:pPr>
            <w:r>
              <w:rPr>
                <w:rFonts w:hint="eastAsia"/>
                <w:sz w:val="18"/>
                <w:szCs w:val="18"/>
              </w:rPr>
              <w:t>注：须同时提供招标代理协议复印件、经地方交易中心备案的项目中标通知书复印件；如合同中未能体现项目负责人须另外提供加盖业主公章的证明文件复印件。</w:t>
            </w:r>
          </w:p>
          <w:p>
            <w:pPr>
              <w:rPr>
                <w:sz w:val="18"/>
                <w:szCs w:val="18"/>
              </w:rPr>
            </w:pPr>
            <w:r>
              <w:rPr>
                <w:rFonts w:hint="eastAsia"/>
                <w:b/>
                <w:sz w:val="18"/>
                <w:szCs w:val="18"/>
              </w:rPr>
              <w:t>标段2：</w:t>
            </w:r>
            <w:r>
              <w:rPr>
                <w:rFonts w:hint="eastAsia"/>
                <w:sz w:val="18"/>
                <w:szCs w:val="18"/>
              </w:rPr>
              <w:t>项目负责人担任过大陆境内4C及以上民用运输机场的民航专业项目的招标代理负责人的，有1个业绩的得1分，最多得5分。同一机场仅计算一次，每个机场至少完成过服务类、工程类、设备类三种类型的代理业绩；否则不予认可。</w:t>
            </w:r>
          </w:p>
          <w:p>
            <w:pPr>
              <w:rPr>
                <w:sz w:val="18"/>
                <w:szCs w:val="18"/>
              </w:rPr>
            </w:pPr>
            <w:r>
              <w:rPr>
                <w:rFonts w:hint="eastAsia"/>
                <w:sz w:val="18"/>
                <w:szCs w:val="18"/>
              </w:rPr>
              <w:t>注：须同时提供招标代理协议复印件、加盖地区管理局备案章的项目中标通知书复印件（或民航专业系统内中标公示截图）；如合同中未能体现项目负责人须另外提供加盖业主公章的证明文件复印件。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828" w:type="dxa"/>
            <w:vMerge w:val="continue"/>
            <w:vAlign w:val="center"/>
          </w:tcPr>
          <w:p>
            <w:pPr>
              <w:rPr>
                <w:sz w:val="18"/>
                <w:szCs w:val="18"/>
              </w:rPr>
            </w:pPr>
          </w:p>
        </w:tc>
        <w:tc>
          <w:tcPr>
            <w:tcW w:w="1080" w:type="dxa"/>
            <w:gridSpan w:val="2"/>
            <w:vMerge w:val="continue"/>
            <w:vAlign w:val="center"/>
          </w:tcPr>
          <w:p>
            <w:pPr>
              <w:rPr>
                <w:sz w:val="18"/>
                <w:szCs w:val="18"/>
              </w:rPr>
            </w:pPr>
          </w:p>
        </w:tc>
        <w:tc>
          <w:tcPr>
            <w:tcW w:w="720" w:type="dxa"/>
            <w:vMerge w:val="continue"/>
            <w:vAlign w:val="center"/>
          </w:tcPr>
          <w:p>
            <w:pPr>
              <w:rPr>
                <w:sz w:val="18"/>
                <w:szCs w:val="18"/>
              </w:rPr>
            </w:pPr>
          </w:p>
        </w:tc>
        <w:tc>
          <w:tcPr>
            <w:tcW w:w="2340" w:type="dxa"/>
            <w:gridSpan w:val="2"/>
            <w:vAlign w:val="center"/>
          </w:tcPr>
          <w:p>
            <w:pPr>
              <w:rPr>
                <w:sz w:val="18"/>
                <w:szCs w:val="18"/>
              </w:rPr>
            </w:pPr>
            <w:r>
              <w:rPr>
                <w:sz w:val="18"/>
                <w:szCs w:val="18"/>
              </w:rPr>
              <w:t>企业业绩</w:t>
            </w:r>
          </w:p>
        </w:tc>
        <w:tc>
          <w:tcPr>
            <w:tcW w:w="720" w:type="dxa"/>
            <w:vAlign w:val="center"/>
          </w:tcPr>
          <w:p>
            <w:pPr>
              <w:ind w:left="102"/>
              <w:rPr>
                <w:sz w:val="18"/>
                <w:szCs w:val="18"/>
              </w:rPr>
            </w:pPr>
            <w:r>
              <w:rPr>
                <w:rFonts w:hint="eastAsia"/>
                <w:sz w:val="18"/>
                <w:szCs w:val="18"/>
              </w:rPr>
              <w:t>10分</w:t>
            </w:r>
          </w:p>
        </w:tc>
        <w:tc>
          <w:tcPr>
            <w:tcW w:w="2834" w:type="dxa"/>
            <w:gridSpan w:val="2"/>
            <w:vAlign w:val="center"/>
          </w:tcPr>
          <w:p>
            <w:pPr>
              <w:rPr>
                <w:sz w:val="18"/>
                <w:szCs w:val="18"/>
              </w:rPr>
            </w:pPr>
            <w:r>
              <w:rPr>
                <w:rFonts w:hint="eastAsia"/>
                <w:sz w:val="18"/>
                <w:szCs w:val="18"/>
              </w:rPr>
              <w:t>根据投标人提供的近年（2017年1月1日至今）代理的民航机场、政府机关、大型企事业单位业绩情况综合打分，酌情赋分。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28" w:type="dxa"/>
            <w:vAlign w:val="center"/>
          </w:tcPr>
          <w:p>
            <w:pPr>
              <w:rPr>
                <w:sz w:val="18"/>
                <w:szCs w:val="18"/>
              </w:rPr>
            </w:pPr>
            <w:r>
              <w:rPr>
                <w:sz w:val="18"/>
                <w:szCs w:val="18"/>
              </w:rPr>
              <w:t>2.2.4(3)</w:t>
            </w:r>
          </w:p>
        </w:tc>
        <w:tc>
          <w:tcPr>
            <w:tcW w:w="1080" w:type="dxa"/>
            <w:gridSpan w:val="2"/>
            <w:vAlign w:val="center"/>
          </w:tcPr>
          <w:p>
            <w:pPr>
              <w:rPr>
                <w:sz w:val="18"/>
                <w:szCs w:val="18"/>
              </w:rPr>
            </w:pPr>
            <w:r>
              <w:rPr>
                <w:rFonts w:hint="eastAsia"/>
                <w:sz w:val="18"/>
                <w:szCs w:val="18"/>
              </w:rPr>
              <w:t>投标报价</w:t>
            </w:r>
          </w:p>
        </w:tc>
        <w:tc>
          <w:tcPr>
            <w:tcW w:w="720" w:type="dxa"/>
            <w:vAlign w:val="center"/>
          </w:tcPr>
          <w:p>
            <w:pPr>
              <w:rPr>
                <w:sz w:val="18"/>
                <w:szCs w:val="18"/>
              </w:rPr>
            </w:pPr>
            <w:r>
              <w:rPr>
                <w:rFonts w:hint="eastAsia"/>
                <w:sz w:val="18"/>
                <w:szCs w:val="18"/>
              </w:rPr>
              <w:t>30分</w:t>
            </w:r>
          </w:p>
        </w:tc>
        <w:tc>
          <w:tcPr>
            <w:tcW w:w="2340" w:type="dxa"/>
            <w:gridSpan w:val="2"/>
            <w:vAlign w:val="center"/>
          </w:tcPr>
          <w:p>
            <w:pPr>
              <w:rPr>
                <w:sz w:val="18"/>
                <w:szCs w:val="18"/>
              </w:rPr>
            </w:pPr>
            <w:r>
              <w:rPr>
                <w:rFonts w:hint="eastAsia"/>
                <w:sz w:val="18"/>
                <w:szCs w:val="18"/>
              </w:rPr>
              <w:t>评标价</w:t>
            </w:r>
          </w:p>
        </w:tc>
        <w:tc>
          <w:tcPr>
            <w:tcW w:w="720" w:type="dxa"/>
            <w:vAlign w:val="center"/>
          </w:tcPr>
          <w:p>
            <w:pPr>
              <w:jc w:val="center"/>
              <w:rPr>
                <w:sz w:val="18"/>
                <w:szCs w:val="18"/>
              </w:rPr>
            </w:pPr>
            <w:r>
              <w:rPr>
                <w:rFonts w:hint="eastAsia"/>
                <w:sz w:val="18"/>
                <w:szCs w:val="18"/>
              </w:rPr>
              <w:t>30分</w:t>
            </w:r>
          </w:p>
        </w:tc>
        <w:tc>
          <w:tcPr>
            <w:tcW w:w="2834" w:type="dxa"/>
            <w:gridSpan w:val="2"/>
          </w:tcPr>
          <w:p>
            <w:pPr>
              <w:rPr>
                <w:sz w:val="18"/>
                <w:szCs w:val="18"/>
              </w:rPr>
            </w:pPr>
            <w:r>
              <w:rPr>
                <w:rFonts w:hint="eastAsia"/>
                <w:sz w:val="18"/>
                <w:szCs w:val="18"/>
              </w:rPr>
              <w:t>评标价等于评标基准价的得满分；偏离评标基准价的，评标价每高于评标基准价1%扣0.3分，评标价每低于评标基准价1%扣0.2分，偏离不足1%的，用插入法计算。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28" w:type="dxa"/>
            <w:vAlign w:val="center"/>
          </w:tcPr>
          <w:p>
            <w:pPr>
              <w:rPr>
                <w:sz w:val="18"/>
                <w:szCs w:val="18"/>
              </w:rPr>
            </w:pPr>
            <w:r>
              <w:rPr>
                <w:sz w:val="18"/>
                <w:szCs w:val="18"/>
              </w:rPr>
              <w:t>3.1.3</w:t>
            </w:r>
          </w:p>
        </w:tc>
        <w:tc>
          <w:tcPr>
            <w:tcW w:w="7694" w:type="dxa"/>
            <w:gridSpan w:val="8"/>
            <w:vAlign w:val="center"/>
          </w:tcPr>
          <w:p>
            <w:pPr>
              <w:rPr>
                <w:sz w:val="18"/>
                <w:szCs w:val="18"/>
              </w:rPr>
            </w:pPr>
            <w:r>
              <w:rPr>
                <w:rFonts w:hint="eastAsia"/>
                <w:sz w:val="18"/>
                <w:szCs w:val="18"/>
              </w:rPr>
              <w:t>算术性错误的修正原则：\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22" w:type="dxa"/>
            <w:gridSpan w:val="9"/>
            <w:vAlign w:val="center"/>
          </w:tcPr>
          <w:p>
            <w:pPr>
              <w:spacing w:line="360" w:lineRule="auto"/>
              <w:rPr>
                <w:b/>
                <w:szCs w:val="21"/>
              </w:rPr>
            </w:pPr>
            <w:r>
              <w:rPr>
                <w:b/>
                <w:szCs w:val="21"/>
              </w:rPr>
              <w:t>3.1.4</w:t>
            </w:r>
            <w:r>
              <w:rPr>
                <w:rFonts w:hint="eastAsia"/>
                <w:b/>
                <w:szCs w:val="21"/>
              </w:rPr>
              <w:t>需补充的其他内容：</w:t>
            </w:r>
          </w:p>
          <w:p>
            <w:pPr>
              <w:rPr>
                <w:szCs w:val="21"/>
              </w:rPr>
            </w:pPr>
            <w:r>
              <w:rPr>
                <w:rFonts w:hint="eastAsia"/>
                <w:sz w:val="18"/>
                <w:szCs w:val="18"/>
              </w:rPr>
              <w:t>1、以所有评委评分的算术平均值为最终得分。</w:t>
            </w:r>
          </w:p>
        </w:tc>
      </w:tr>
    </w:tbl>
    <w:p/>
    <w:p>
      <w:pPr>
        <w:widowControl/>
        <w:jc w:val="left"/>
      </w:pPr>
      <w:r>
        <w:br w:type="page"/>
      </w:r>
    </w:p>
    <w:p>
      <w:pPr>
        <w:spacing w:line="400" w:lineRule="exact"/>
        <w:outlineLvl w:val="1"/>
        <w:rPr>
          <w:sz w:val="28"/>
          <w:szCs w:val="28"/>
        </w:rPr>
      </w:pPr>
      <w:bookmarkStart w:id="54" w:name="_Toc46325200"/>
      <w:bookmarkStart w:id="55" w:name="_Toc303840942"/>
      <w:r>
        <w:rPr>
          <w:sz w:val="28"/>
          <w:szCs w:val="28"/>
        </w:rPr>
        <w:t xml:space="preserve">1.  </w:t>
      </w:r>
      <w:r>
        <w:rPr>
          <w:rFonts w:hint="eastAsia"/>
          <w:sz w:val="28"/>
          <w:szCs w:val="28"/>
        </w:rPr>
        <w:t>评标方法</w:t>
      </w:r>
      <w:bookmarkEnd w:id="53"/>
      <w:bookmarkEnd w:id="54"/>
      <w:bookmarkEnd w:id="55"/>
    </w:p>
    <w:p>
      <w:pPr>
        <w:spacing w:line="400" w:lineRule="exact"/>
        <w:ind w:firstLine="420" w:firstLineChars="200"/>
      </w:pPr>
      <w:r>
        <w:rPr>
          <w:rFonts w:hint="eastAsia"/>
        </w:rPr>
        <w:t>本次评标采用综合评估法。评标委员会对满足招标文件实质性要求的投标文件，按照本章第</w:t>
      </w:r>
      <w:r>
        <w:t xml:space="preserve">2.2 </w:t>
      </w:r>
      <w:r>
        <w:rPr>
          <w:rFonts w:hint="eastAsia"/>
        </w:rPr>
        <w:t>款规定的评分标准进行打分，并按得分由高到低顺序推荐中标候选人，或根据招标人授权直接确定中标人。综合评分相等时，以投标报价低的优先；投标报价也相等的，由招标人自行确定。</w:t>
      </w:r>
    </w:p>
    <w:p>
      <w:pPr>
        <w:spacing w:line="400" w:lineRule="exact"/>
        <w:outlineLvl w:val="1"/>
        <w:rPr>
          <w:sz w:val="28"/>
          <w:szCs w:val="28"/>
        </w:rPr>
      </w:pPr>
      <w:bookmarkStart w:id="56" w:name="_Toc303840943"/>
      <w:bookmarkStart w:id="57" w:name="_Toc286357742"/>
      <w:bookmarkStart w:id="58" w:name="_Toc46325201"/>
      <w:r>
        <w:rPr>
          <w:sz w:val="28"/>
          <w:szCs w:val="28"/>
        </w:rPr>
        <w:t xml:space="preserve">2.  </w:t>
      </w:r>
      <w:r>
        <w:rPr>
          <w:rFonts w:hint="eastAsia"/>
          <w:sz w:val="28"/>
          <w:szCs w:val="28"/>
        </w:rPr>
        <w:t>评审标准</w:t>
      </w:r>
      <w:bookmarkEnd w:id="56"/>
      <w:bookmarkEnd w:id="57"/>
      <w:bookmarkEnd w:id="58"/>
    </w:p>
    <w:p>
      <w:pPr>
        <w:spacing w:line="400" w:lineRule="exact"/>
        <w:outlineLvl w:val="2"/>
        <w:rPr>
          <w:sz w:val="24"/>
        </w:rPr>
      </w:pPr>
      <w:bookmarkStart w:id="59" w:name="_Toc303840944"/>
      <w:bookmarkStart w:id="60" w:name="_Toc286357743"/>
      <w:bookmarkStart w:id="61" w:name="_Toc46325202"/>
      <w:r>
        <w:rPr>
          <w:sz w:val="24"/>
        </w:rPr>
        <w:t xml:space="preserve">2.1  </w:t>
      </w:r>
      <w:r>
        <w:rPr>
          <w:rFonts w:hint="eastAsia"/>
          <w:sz w:val="24"/>
        </w:rPr>
        <w:t>初步评审标准</w:t>
      </w:r>
      <w:bookmarkEnd w:id="59"/>
      <w:bookmarkEnd w:id="60"/>
      <w:bookmarkEnd w:id="61"/>
    </w:p>
    <w:p>
      <w:pPr>
        <w:spacing w:line="400" w:lineRule="exact"/>
        <w:ind w:firstLine="420" w:firstLineChars="200"/>
      </w:pPr>
      <w:r>
        <w:t xml:space="preserve">2.1.1  </w:t>
      </w:r>
      <w:r>
        <w:rPr>
          <w:rFonts w:hint="eastAsia"/>
        </w:rPr>
        <w:t>形式评审标准：见评标办法前附表。</w:t>
      </w:r>
    </w:p>
    <w:p>
      <w:pPr>
        <w:spacing w:line="400" w:lineRule="exact"/>
        <w:ind w:firstLine="420" w:firstLineChars="200"/>
      </w:pPr>
      <w:r>
        <w:t xml:space="preserve">2.1.2 </w:t>
      </w:r>
      <w:r>
        <w:rPr>
          <w:rFonts w:hint="eastAsia"/>
        </w:rPr>
        <w:t>资格评审标准：见评标办法前附表。</w:t>
      </w:r>
    </w:p>
    <w:p>
      <w:pPr>
        <w:spacing w:line="400" w:lineRule="exact"/>
        <w:ind w:firstLine="420" w:firstLineChars="200"/>
      </w:pPr>
      <w:r>
        <w:t xml:space="preserve">2.1.3  </w:t>
      </w:r>
      <w:r>
        <w:rPr>
          <w:rFonts w:hint="eastAsia"/>
        </w:rPr>
        <w:t>响应性评审标准：见评标办法前附表。</w:t>
      </w:r>
    </w:p>
    <w:p>
      <w:pPr>
        <w:spacing w:line="400" w:lineRule="exact"/>
        <w:outlineLvl w:val="2"/>
        <w:rPr>
          <w:sz w:val="24"/>
        </w:rPr>
      </w:pPr>
      <w:bookmarkStart w:id="62" w:name="_Toc303840945"/>
      <w:bookmarkStart w:id="63" w:name="_Toc286357744"/>
      <w:bookmarkStart w:id="64" w:name="_Toc46325203"/>
      <w:r>
        <w:rPr>
          <w:sz w:val="24"/>
        </w:rPr>
        <w:t xml:space="preserve">2.2  </w:t>
      </w:r>
      <w:r>
        <w:rPr>
          <w:rFonts w:hint="eastAsia"/>
          <w:sz w:val="24"/>
        </w:rPr>
        <w:t>分值构成与评分标准</w:t>
      </w:r>
      <w:bookmarkEnd w:id="62"/>
      <w:bookmarkEnd w:id="63"/>
      <w:bookmarkEnd w:id="64"/>
    </w:p>
    <w:p>
      <w:pPr>
        <w:spacing w:line="400" w:lineRule="exact"/>
        <w:ind w:firstLine="420" w:firstLineChars="200"/>
      </w:pPr>
      <w:r>
        <w:t xml:space="preserve">2.2.1  </w:t>
      </w:r>
      <w:r>
        <w:rPr>
          <w:rFonts w:hint="eastAsia"/>
        </w:rPr>
        <w:t>分值构成</w:t>
      </w:r>
    </w:p>
    <w:p>
      <w:pPr>
        <w:spacing w:line="400" w:lineRule="exact"/>
        <w:ind w:firstLine="420" w:firstLineChars="200"/>
      </w:pPr>
      <w:r>
        <w:rPr>
          <w:rFonts w:hint="eastAsia"/>
        </w:rPr>
        <w:t>（</w:t>
      </w:r>
      <w:r>
        <w:t>1</w:t>
      </w:r>
      <w:r>
        <w:rPr>
          <w:rFonts w:hint="eastAsia"/>
        </w:rPr>
        <w:t>）技术部分：见评标办法前附表；</w:t>
      </w:r>
    </w:p>
    <w:p>
      <w:pPr>
        <w:spacing w:line="400" w:lineRule="exact"/>
        <w:ind w:firstLine="420" w:firstLineChars="200"/>
      </w:pPr>
      <w:r>
        <w:rPr>
          <w:rFonts w:hint="eastAsia"/>
        </w:rPr>
        <w:t>（</w:t>
      </w:r>
      <w:r>
        <w:t>2</w:t>
      </w:r>
      <w:r>
        <w:rPr>
          <w:rFonts w:hint="eastAsia"/>
        </w:rPr>
        <w:t>）商务部分：见评标办法前附表；</w:t>
      </w:r>
    </w:p>
    <w:p>
      <w:pPr>
        <w:spacing w:line="400" w:lineRule="exact"/>
        <w:ind w:firstLine="420" w:firstLineChars="200"/>
      </w:pPr>
      <w:r>
        <w:rPr>
          <w:rFonts w:hint="eastAsia"/>
        </w:rPr>
        <w:t>（</w:t>
      </w:r>
      <w:r>
        <w:t>3</w:t>
      </w:r>
      <w:r>
        <w:rPr>
          <w:rFonts w:hint="eastAsia"/>
        </w:rPr>
        <w:t>）投标报价：见评标办法前附表；</w:t>
      </w:r>
    </w:p>
    <w:p>
      <w:pPr>
        <w:spacing w:line="400" w:lineRule="exact"/>
        <w:ind w:firstLine="420" w:firstLineChars="200"/>
      </w:pPr>
      <w:r>
        <w:t xml:space="preserve">2.2.2 </w:t>
      </w:r>
      <w:r>
        <w:rPr>
          <w:rFonts w:hint="eastAsia"/>
        </w:rPr>
        <w:t>评标基准价计算评标基准价计算方法：见评标办法前附表。</w:t>
      </w:r>
    </w:p>
    <w:p>
      <w:pPr>
        <w:spacing w:line="400" w:lineRule="exact"/>
        <w:ind w:firstLine="420" w:firstLineChars="200"/>
      </w:pPr>
      <w:r>
        <w:t xml:space="preserve">2.2.3 </w:t>
      </w:r>
      <w:r>
        <w:rPr>
          <w:rFonts w:hint="eastAsia"/>
        </w:rPr>
        <w:t>投标报价的偏差率计算投标报价的偏差率计算公式：见评标办法前附表。</w:t>
      </w:r>
    </w:p>
    <w:p>
      <w:pPr>
        <w:spacing w:line="400" w:lineRule="exact"/>
        <w:ind w:firstLine="420" w:firstLineChars="200"/>
      </w:pPr>
      <w:r>
        <w:t xml:space="preserve">2.2.4  </w:t>
      </w:r>
      <w:r>
        <w:rPr>
          <w:rFonts w:hint="eastAsia"/>
        </w:rPr>
        <w:t>评分标准</w:t>
      </w:r>
    </w:p>
    <w:p>
      <w:pPr>
        <w:spacing w:line="400" w:lineRule="exact"/>
        <w:ind w:firstLine="420" w:firstLineChars="200"/>
      </w:pPr>
      <w:r>
        <w:rPr>
          <w:rFonts w:hint="eastAsia"/>
        </w:rPr>
        <w:t>（</w:t>
      </w:r>
      <w:r>
        <w:t>1</w:t>
      </w:r>
      <w:r>
        <w:rPr>
          <w:rFonts w:hint="eastAsia"/>
        </w:rPr>
        <w:t>）技术部分评分标准：见评标办法前附表；</w:t>
      </w:r>
    </w:p>
    <w:p>
      <w:pPr>
        <w:spacing w:line="400" w:lineRule="exact"/>
        <w:ind w:firstLine="420" w:firstLineChars="200"/>
      </w:pPr>
      <w:r>
        <w:rPr>
          <w:rFonts w:hint="eastAsia"/>
        </w:rPr>
        <w:t>（</w:t>
      </w:r>
      <w:r>
        <w:t>2</w:t>
      </w:r>
      <w:r>
        <w:rPr>
          <w:rFonts w:hint="eastAsia"/>
        </w:rPr>
        <w:t>）商务部分评分标准：见评标办法前附表；</w:t>
      </w:r>
    </w:p>
    <w:p>
      <w:pPr>
        <w:spacing w:line="400" w:lineRule="exact"/>
        <w:ind w:firstLine="420" w:firstLineChars="200"/>
      </w:pPr>
      <w:r>
        <w:rPr>
          <w:rFonts w:hint="eastAsia"/>
        </w:rPr>
        <w:t>（</w:t>
      </w:r>
      <w:r>
        <w:t>3</w:t>
      </w:r>
      <w:r>
        <w:rPr>
          <w:rFonts w:hint="eastAsia"/>
        </w:rPr>
        <w:t>）投标报价评分标准：见评标办法前附表；</w:t>
      </w:r>
    </w:p>
    <w:p>
      <w:pPr>
        <w:spacing w:line="380" w:lineRule="exact"/>
        <w:outlineLvl w:val="1"/>
        <w:rPr>
          <w:sz w:val="28"/>
          <w:szCs w:val="28"/>
        </w:rPr>
      </w:pPr>
      <w:bookmarkStart w:id="65" w:name="_Toc46325204"/>
      <w:bookmarkStart w:id="66" w:name="_Toc303840946"/>
      <w:bookmarkStart w:id="67" w:name="_Toc286357745"/>
      <w:r>
        <w:rPr>
          <w:sz w:val="28"/>
          <w:szCs w:val="28"/>
        </w:rPr>
        <w:t xml:space="preserve">3.  </w:t>
      </w:r>
      <w:r>
        <w:rPr>
          <w:rFonts w:hint="eastAsia"/>
          <w:sz w:val="28"/>
          <w:szCs w:val="28"/>
        </w:rPr>
        <w:t>评标程序</w:t>
      </w:r>
      <w:bookmarkEnd w:id="65"/>
      <w:bookmarkEnd w:id="66"/>
      <w:bookmarkEnd w:id="67"/>
    </w:p>
    <w:p>
      <w:pPr>
        <w:spacing w:line="380" w:lineRule="exact"/>
        <w:outlineLvl w:val="2"/>
        <w:rPr>
          <w:sz w:val="24"/>
        </w:rPr>
      </w:pPr>
      <w:bookmarkStart w:id="68" w:name="_Toc286357746"/>
      <w:bookmarkStart w:id="69" w:name="_Toc303840947"/>
      <w:bookmarkStart w:id="70" w:name="_Toc46325205"/>
      <w:r>
        <w:rPr>
          <w:sz w:val="24"/>
        </w:rPr>
        <w:t xml:space="preserve">3.1  </w:t>
      </w:r>
      <w:r>
        <w:rPr>
          <w:rFonts w:hint="eastAsia"/>
          <w:sz w:val="24"/>
        </w:rPr>
        <w:t>初步评审</w:t>
      </w:r>
      <w:bookmarkEnd w:id="68"/>
      <w:bookmarkEnd w:id="69"/>
      <w:bookmarkEnd w:id="70"/>
    </w:p>
    <w:p>
      <w:pPr>
        <w:spacing w:line="380" w:lineRule="exact"/>
        <w:ind w:firstLine="420" w:firstLineChars="200"/>
      </w:pPr>
      <w:r>
        <w:t xml:space="preserve">3.1.1  </w:t>
      </w:r>
      <w:r>
        <w:rPr>
          <w:rFonts w:hint="eastAsia"/>
        </w:rPr>
        <w:t>评评标委员会可以要求投标人提交第二章“投标人须知”第</w:t>
      </w:r>
      <w:r>
        <w:t xml:space="preserve">3.5.1 </w:t>
      </w:r>
      <w:r>
        <w:rPr>
          <w:rFonts w:hint="eastAsia"/>
        </w:rPr>
        <w:t>项至第</w:t>
      </w:r>
      <w:r>
        <w:t xml:space="preserve">3.5.5 </w:t>
      </w:r>
      <w:r>
        <w:rPr>
          <w:rFonts w:hint="eastAsia"/>
        </w:rPr>
        <w:t>项规定的有关证明和证件的原件，以便核验。评标委员会依据本章第</w:t>
      </w:r>
      <w:r>
        <w:t xml:space="preserve">2.1 </w:t>
      </w:r>
      <w:r>
        <w:rPr>
          <w:rFonts w:hint="eastAsia"/>
        </w:rPr>
        <w:t>款规定的标准对投标文件进行初步评审。有一项不符合评审标准的，作废标处理。</w:t>
      </w:r>
    </w:p>
    <w:p>
      <w:pPr>
        <w:spacing w:line="380" w:lineRule="exact"/>
        <w:ind w:firstLine="420" w:firstLineChars="200"/>
      </w:pPr>
      <w:r>
        <w:t xml:space="preserve">3.1.2  </w:t>
      </w:r>
      <w:r>
        <w:rPr>
          <w:rFonts w:hint="eastAsia"/>
        </w:rPr>
        <w:t>投标人有以下情形之一的，其投标作废标处理：</w:t>
      </w:r>
    </w:p>
    <w:p>
      <w:pPr>
        <w:spacing w:line="380" w:lineRule="exact"/>
        <w:ind w:firstLine="420" w:firstLineChars="200"/>
      </w:pPr>
      <w:r>
        <w:rPr>
          <w:rFonts w:hint="eastAsia"/>
        </w:rPr>
        <w:t>（</w:t>
      </w:r>
      <w:r>
        <w:t>1</w:t>
      </w:r>
      <w:r>
        <w:rPr>
          <w:rFonts w:hint="eastAsia"/>
        </w:rPr>
        <w:t>）第二章总则第</w:t>
      </w:r>
      <w:r>
        <w:t>1.4.2</w:t>
      </w:r>
      <w:r>
        <w:rPr>
          <w:rFonts w:hint="eastAsia"/>
        </w:rPr>
        <w:t>项规定的任何一种情形的；</w:t>
      </w:r>
    </w:p>
    <w:p>
      <w:pPr>
        <w:spacing w:line="380" w:lineRule="exact"/>
        <w:ind w:firstLine="420" w:firstLineChars="200"/>
      </w:pPr>
      <w:r>
        <w:rPr>
          <w:rFonts w:hint="eastAsia"/>
        </w:rPr>
        <w:t>（</w:t>
      </w:r>
      <w:r>
        <w:t>2</w:t>
      </w:r>
      <w:r>
        <w:rPr>
          <w:rFonts w:hint="eastAsia"/>
        </w:rPr>
        <w:t>）串通投标或弄虚作假或有其他违法行为的；</w:t>
      </w:r>
    </w:p>
    <w:p>
      <w:pPr>
        <w:spacing w:line="380" w:lineRule="exact"/>
        <w:ind w:firstLine="420" w:firstLineChars="200"/>
      </w:pPr>
      <w:r>
        <w:rPr>
          <w:rFonts w:hint="eastAsia"/>
        </w:rPr>
        <w:t>（</w:t>
      </w:r>
      <w:r>
        <w:t>3</w:t>
      </w:r>
      <w:r>
        <w:rPr>
          <w:rFonts w:hint="eastAsia"/>
        </w:rPr>
        <w:t>）不按评标委员会要求澄清、说明或补正的。</w:t>
      </w:r>
    </w:p>
    <w:p>
      <w:pPr>
        <w:spacing w:line="380" w:lineRule="exact"/>
        <w:ind w:firstLine="420" w:firstLineChars="200"/>
      </w:pPr>
      <w:r>
        <w:t xml:space="preserve">3.1.3 </w:t>
      </w:r>
      <w:r>
        <w:rPr>
          <w:rFonts w:hint="eastAsia"/>
        </w:rPr>
        <w:t>投标报价有算术错误的，评标委员会按前附表规定的原则对投标报价进行修正，修正的价格经投标人书面确认后具有约束力。投标人不接受修正价格的，其投标作废标处理。</w:t>
      </w:r>
    </w:p>
    <w:p>
      <w:pPr>
        <w:spacing w:line="380" w:lineRule="exact"/>
        <w:outlineLvl w:val="2"/>
        <w:rPr>
          <w:sz w:val="24"/>
        </w:rPr>
      </w:pPr>
      <w:bookmarkStart w:id="71" w:name="_Toc46325206"/>
      <w:bookmarkStart w:id="72" w:name="_Toc303840948"/>
      <w:bookmarkStart w:id="73" w:name="_Toc286357747"/>
      <w:r>
        <w:rPr>
          <w:sz w:val="24"/>
        </w:rPr>
        <w:t xml:space="preserve">3.2  </w:t>
      </w:r>
      <w:r>
        <w:rPr>
          <w:rFonts w:hint="eastAsia"/>
          <w:sz w:val="24"/>
        </w:rPr>
        <w:t>详细评审</w:t>
      </w:r>
      <w:bookmarkEnd w:id="71"/>
      <w:bookmarkEnd w:id="72"/>
      <w:bookmarkEnd w:id="73"/>
    </w:p>
    <w:p>
      <w:pPr>
        <w:spacing w:line="380" w:lineRule="exact"/>
        <w:ind w:firstLine="420" w:firstLineChars="200"/>
      </w:pPr>
      <w:r>
        <w:t xml:space="preserve">3.2.1 </w:t>
      </w:r>
      <w:r>
        <w:rPr>
          <w:rFonts w:hint="eastAsia"/>
        </w:rPr>
        <w:t>评标委员会按本章第</w:t>
      </w:r>
      <w:r>
        <w:t xml:space="preserve">2.2 </w:t>
      </w:r>
      <w:r>
        <w:rPr>
          <w:rFonts w:hint="eastAsia"/>
        </w:rPr>
        <w:t>款规定的量化因素和分值进行打分，并计算出综合评估得分。</w:t>
      </w:r>
    </w:p>
    <w:p>
      <w:pPr>
        <w:spacing w:line="380" w:lineRule="exact"/>
        <w:ind w:firstLine="420" w:firstLineChars="200"/>
      </w:pPr>
      <w:r>
        <w:rPr>
          <w:rFonts w:hint="eastAsia"/>
        </w:rPr>
        <w:t>（</w:t>
      </w:r>
      <w:r>
        <w:t>1</w:t>
      </w:r>
      <w:r>
        <w:rPr>
          <w:rFonts w:hint="eastAsia"/>
        </w:rPr>
        <w:t>）按本章第</w:t>
      </w:r>
      <w:r>
        <w:t>2.2.4</w:t>
      </w:r>
      <w:r>
        <w:rPr>
          <w:rFonts w:hint="eastAsia"/>
        </w:rPr>
        <w:t>（</w:t>
      </w:r>
      <w:r>
        <w:t>1</w:t>
      </w:r>
      <w:r>
        <w:rPr>
          <w:rFonts w:hint="eastAsia"/>
        </w:rPr>
        <w:t>）目规定的评审因素和分值对工作方案等计算出得分</w:t>
      </w:r>
      <w:r>
        <w:t>A</w:t>
      </w:r>
      <w:r>
        <w:rPr>
          <w:rFonts w:hint="eastAsia"/>
        </w:rPr>
        <w:t>；</w:t>
      </w:r>
    </w:p>
    <w:p>
      <w:pPr>
        <w:spacing w:line="380" w:lineRule="exact"/>
        <w:ind w:firstLine="420" w:firstLineChars="200"/>
      </w:pPr>
      <w:r>
        <w:rPr>
          <w:rFonts w:hint="eastAsia"/>
        </w:rPr>
        <w:t>（</w:t>
      </w:r>
      <w:r>
        <w:t>2</w:t>
      </w:r>
      <w:r>
        <w:rPr>
          <w:rFonts w:hint="eastAsia"/>
        </w:rPr>
        <w:t>）按本章第</w:t>
      </w:r>
      <w:r>
        <w:t>2.2.4</w:t>
      </w:r>
      <w:r>
        <w:rPr>
          <w:rFonts w:hint="eastAsia"/>
        </w:rPr>
        <w:t>（</w:t>
      </w:r>
      <w:r>
        <w:t>2</w:t>
      </w:r>
      <w:r>
        <w:rPr>
          <w:rFonts w:hint="eastAsia"/>
        </w:rPr>
        <w:t>）目规定的评审因素和分值对项目管理机构计算出得分</w:t>
      </w:r>
      <w:r>
        <w:t>B</w:t>
      </w:r>
      <w:r>
        <w:rPr>
          <w:rFonts w:hint="eastAsia"/>
        </w:rPr>
        <w:t>；</w:t>
      </w:r>
    </w:p>
    <w:p>
      <w:pPr>
        <w:spacing w:line="380" w:lineRule="exact"/>
        <w:ind w:firstLine="420" w:firstLineChars="200"/>
      </w:pPr>
      <w:r>
        <w:rPr>
          <w:rFonts w:hint="eastAsia"/>
        </w:rPr>
        <w:t>（</w:t>
      </w:r>
      <w:r>
        <w:t>3</w:t>
      </w:r>
      <w:r>
        <w:rPr>
          <w:rFonts w:hint="eastAsia"/>
        </w:rPr>
        <w:t>）按本章第</w:t>
      </w:r>
      <w:r>
        <w:t>2.2.4</w:t>
      </w:r>
      <w:r>
        <w:rPr>
          <w:rFonts w:hint="eastAsia"/>
        </w:rPr>
        <w:t>（</w:t>
      </w:r>
      <w:r>
        <w:t>3</w:t>
      </w:r>
      <w:r>
        <w:rPr>
          <w:rFonts w:hint="eastAsia"/>
        </w:rPr>
        <w:t>）目规定的评审因素和分值对投标报价计算出得分</w:t>
      </w:r>
      <w:r>
        <w:t>C</w:t>
      </w:r>
      <w:r>
        <w:rPr>
          <w:rFonts w:hint="eastAsia"/>
        </w:rPr>
        <w:t>。</w:t>
      </w:r>
    </w:p>
    <w:p>
      <w:pPr>
        <w:spacing w:line="380" w:lineRule="exact"/>
        <w:ind w:firstLine="420" w:firstLineChars="200"/>
      </w:pPr>
      <w:r>
        <w:rPr>
          <w:rFonts w:hint="eastAsia"/>
        </w:rPr>
        <w:t>评分分值计算保留小数点后两位，小数点后第三位</w:t>
      </w:r>
      <w:r>
        <w:t>“</w:t>
      </w:r>
      <w:r>
        <w:rPr>
          <w:rFonts w:hint="eastAsia"/>
        </w:rPr>
        <w:t>四舍五入</w:t>
      </w:r>
      <w:r>
        <w:t>”</w:t>
      </w:r>
      <w:r>
        <w:rPr>
          <w:rFonts w:hint="eastAsia"/>
        </w:rPr>
        <w:t>。投标人得分</w:t>
      </w:r>
      <w:r>
        <w:t>=A+B+C</w:t>
      </w:r>
      <w:r>
        <w:rPr>
          <w:rFonts w:hint="eastAsia"/>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pacing w:line="380" w:lineRule="exact"/>
        <w:outlineLvl w:val="2"/>
      </w:pPr>
      <w:bookmarkStart w:id="74" w:name="_Toc286357748"/>
      <w:bookmarkStart w:id="75" w:name="_Toc46325207"/>
      <w:bookmarkStart w:id="76" w:name="_Toc303840949"/>
      <w:r>
        <w:rPr>
          <w:sz w:val="24"/>
        </w:rPr>
        <w:t xml:space="preserve">3.3  </w:t>
      </w:r>
      <w:r>
        <w:rPr>
          <w:rFonts w:hint="eastAsia"/>
          <w:sz w:val="24"/>
        </w:rPr>
        <w:t>投标文件的澄清和补正</w:t>
      </w:r>
      <w:bookmarkEnd w:id="74"/>
      <w:bookmarkEnd w:id="75"/>
      <w:bookmarkEnd w:id="76"/>
    </w:p>
    <w:p>
      <w:pPr>
        <w:spacing w:line="380" w:lineRule="exact"/>
        <w:ind w:firstLine="420" w:firstLineChars="200"/>
      </w:pPr>
      <w:r>
        <w:t xml:space="preserve">3.3.1 </w:t>
      </w:r>
      <w:r>
        <w:rPr>
          <w:rFonts w:hint="eastAsia"/>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80" w:lineRule="exact"/>
        <w:ind w:firstLine="420" w:firstLineChars="200"/>
      </w:pPr>
      <w:r>
        <w:t xml:space="preserve">3.3.2 </w:t>
      </w:r>
      <w:r>
        <w:rPr>
          <w:rFonts w:hint="eastAsia"/>
        </w:rPr>
        <w:t>澄清、说明和补正不得改变投标文件的实质性内容（算术性错误修正的除外）。投标人的书面澄清、说明和补正属于投标文件的组成部分。</w:t>
      </w:r>
    </w:p>
    <w:p>
      <w:pPr>
        <w:spacing w:line="380" w:lineRule="exact"/>
        <w:ind w:firstLine="420" w:firstLineChars="200"/>
      </w:pPr>
      <w:r>
        <w:t xml:space="preserve">3.3.3 </w:t>
      </w:r>
      <w:r>
        <w:rPr>
          <w:rFonts w:hint="eastAsia"/>
        </w:rPr>
        <w:t>评标委员会对投标人提交的澄清、说明或补正有疑问的，可以要求投标人进一步澄清、说明或补正，直至满足评标委员会的要求。</w:t>
      </w:r>
    </w:p>
    <w:p>
      <w:pPr>
        <w:spacing w:line="380" w:lineRule="exact"/>
        <w:outlineLvl w:val="2"/>
        <w:rPr>
          <w:sz w:val="24"/>
        </w:rPr>
      </w:pPr>
      <w:bookmarkStart w:id="77" w:name="_Toc46325208"/>
      <w:bookmarkStart w:id="78" w:name="_Toc303840950"/>
      <w:bookmarkStart w:id="79" w:name="_Toc286357749"/>
      <w:r>
        <w:rPr>
          <w:sz w:val="24"/>
        </w:rPr>
        <w:t xml:space="preserve">3.4  </w:t>
      </w:r>
      <w:r>
        <w:rPr>
          <w:rFonts w:hint="eastAsia"/>
          <w:sz w:val="24"/>
        </w:rPr>
        <w:t>评标结果</w:t>
      </w:r>
      <w:bookmarkEnd w:id="77"/>
      <w:bookmarkEnd w:id="78"/>
      <w:bookmarkEnd w:id="79"/>
    </w:p>
    <w:p>
      <w:pPr>
        <w:spacing w:line="380" w:lineRule="exact"/>
        <w:ind w:firstLine="420" w:firstLineChars="200"/>
      </w:pPr>
      <w:r>
        <w:t xml:space="preserve">3.4.1  </w:t>
      </w:r>
      <w:r>
        <w:rPr>
          <w:rFonts w:hint="eastAsia"/>
        </w:rPr>
        <w:t>除第二章</w:t>
      </w:r>
      <w:r>
        <w:t>“</w:t>
      </w:r>
      <w:r>
        <w:rPr>
          <w:rFonts w:hint="eastAsia"/>
        </w:rPr>
        <w:t>投标人须知</w:t>
      </w:r>
      <w:r>
        <w:t>”</w:t>
      </w:r>
      <w:r>
        <w:rPr>
          <w:rFonts w:hint="eastAsia"/>
        </w:rPr>
        <w:t>前附表授权直接确定中标人外，评标委员会按照得分由高到低的顺序推荐中标候选人。</w:t>
      </w:r>
    </w:p>
    <w:p>
      <w:pPr>
        <w:spacing w:line="380" w:lineRule="exact"/>
        <w:ind w:firstLine="420" w:firstLineChars="200"/>
      </w:pPr>
      <w:r>
        <w:t xml:space="preserve">3.4.2  </w:t>
      </w:r>
      <w:r>
        <w:rPr>
          <w:rFonts w:hint="eastAsia"/>
        </w:rPr>
        <w:t>评标委员会完成评标后，应当向招标人提交书面评标报告。</w:t>
      </w:r>
    </w:p>
    <w:p/>
    <w:bookmarkEnd w:id="51"/>
    <w:p>
      <w:pPr>
        <w:spacing w:line="380" w:lineRule="exact"/>
        <w:ind w:firstLine="420" w:firstLineChars="200"/>
      </w:pPr>
    </w:p>
    <w:p>
      <w:pPr>
        <w:spacing w:line="400" w:lineRule="exact"/>
        <w:ind w:firstLine="420" w:firstLineChars="200"/>
        <w:sectPr>
          <w:footnotePr>
            <w:numFmt w:val="decimalEnclosedCircleChinese"/>
            <w:numRestart w:val="eachPage"/>
          </w:footnotePr>
          <w:pgSz w:w="11906" w:h="16838"/>
          <w:pgMar w:top="1440" w:right="1800" w:bottom="1440" w:left="1800" w:header="851" w:footer="992" w:gutter="0"/>
          <w:cols w:space="720" w:num="1"/>
          <w:docGrid w:type="lines" w:linePitch="312" w:charSpace="0"/>
        </w:sectPr>
      </w:pPr>
    </w:p>
    <w:p>
      <w:pPr>
        <w:pStyle w:val="104"/>
        <w:outlineLvl w:val="0"/>
        <w:rPr>
          <w:rFonts w:hint="eastAsia"/>
        </w:rPr>
      </w:pPr>
      <w:bookmarkStart w:id="80" w:name="_Toc46325209"/>
      <w:bookmarkStart w:id="81" w:name="_Toc286357750"/>
      <w:r>
        <w:rPr>
          <w:rFonts w:hint="eastAsia"/>
        </w:rPr>
        <w:t>第四章</w:t>
      </w:r>
      <w:r>
        <w:t xml:space="preserve"> </w:t>
      </w:r>
      <w:r>
        <w:rPr>
          <w:rFonts w:hint="eastAsia"/>
        </w:rPr>
        <w:t>合同条款及格式</w:t>
      </w:r>
      <w:bookmarkEnd w:id="80"/>
      <w:bookmarkEnd w:id="81"/>
    </w:p>
    <w:p>
      <w:pPr>
        <w:pStyle w:val="104"/>
        <w:outlineLvl w:val="0"/>
      </w:pPr>
    </w:p>
    <w:p>
      <w:pPr>
        <w:snapToGrid w:val="0"/>
        <w:spacing w:line="360" w:lineRule="auto"/>
        <w:ind w:firstLine="420" w:firstLineChars="200"/>
        <w:rPr>
          <w:rFonts w:asciiTheme="minorEastAsia" w:hAnsiTheme="minorEastAsia" w:eastAsiaTheme="minorEastAsia"/>
          <w:szCs w:val="21"/>
        </w:rPr>
      </w:pPr>
      <w:bookmarkStart w:id="82" w:name="_Hlt503233640"/>
      <w:bookmarkEnd w:id="82"/>
      <w:r>
        <w:rPr>
          <w:rFonts w:asciiTheme="minorEastAsia" w:hAnsiTheme="minorEastAsia" w:eastAsiaTheme="minorEastAsia"/>
          <w:szCs w:val="21"/>
        </w:rPr>
        <w:t>依据《中华人民共和国招标投标法》、《中华人民共和国合同法》及其它有关法律、法规、规章，（以下简称委托人）与（以下简称代理人）就</w:t>
      </w:r>
      <w:r>
        <w:rPr>
          <w:rFonts w:hint="eastAsia" w:asciiTheme="minorEastAsia" w:hAnsiTheme="minorEastAsia" w:eastAsiaTheme="minorEastAsia"/>
          <w:szCs w:val="21"/>
          <w:u w:val="single"/>
        </w:rPr>
        <w:t xml:space="preserve"> 扬州泰州国际机场二期扩建项目 </w:t>
      </w:r>
      <w:r>
        <w:rPr>
          <w:rFonts w:asciiTheme="minorEastAsia" w:hAnsiTheme="minorEastAsia" w:eastAsiaTheme="minorEastAsia"/>
          <w:szCs w:val="21"/>
        </w:rPr>
        <w:t>招标代理事宜，经充分协商，达成一致意见，特订立本合同。</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一、委托人委托代理人的项目概况</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1、项目地点：</w:t>
      </w:r>
      <w:r>
        <w:rPr>
          <w:rFonts w:hint="eastAsia" w:asciiTheme="minorEastAsia" w:hAnsiTheme="minorEastAsia" w:eastAsiaTheme="minorEastAsia"/>
          <w:szCs w:val="21"/>
          <w:u w:val="single"/>
        </w:rPr>
        <w:t>扬州泰州国际机场</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2、委托人资金来源：</w:t>
      </w:r>
      <w:r>
        <w:rPr>
          <w:rFonts w:hint="eastAsia" w:asciiTheme="minorEastAsia" w:hAnsiTheme="minorEastAsia" w:eastAsiaTheme="minorEastAsia"/>
          <w:szCs w:val="21"/>
          <w:u w:val="single"/>
        </w:rPr>
        <w:t xml:space="preserve">            </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二、委托代理范围</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1、委托代理招标内容：</w:t>
      </w:r>
      <w:r>
        <w:rPr>
          <w:rFonts w:hint="eastAsia" w:asciiTheme="minorEastAsia" w:hAnsiTheme="minorEastAsia" w:eastAsiaTheme="minorEastAsia"/>
          <w:szCs w:val="21"/>
          <w:u w:val="single"/>
        </w:rPr>
        <w:t xml:space="preserve">                          </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2、委托代理范围内合同估算价：约</w:t>
      </w:r>
      <w:r>
        <w:rPr>
          <w:rFonts w:hint="eastAsia" w:asciiTheme="minorEastAsia" w:hAnsiTheme="minorEastAsia" w:eastAsiaTheme="minorEastAsia"/>
          <w:szCs w:val="21"/>
        </w:rPr>
        <w:t xml:space="preserve">    </w:t>
      </w:r>
      <w:r>
        <w:rPr>
          <w:rFonts w:asciiTheme="minorEastAsia" w:hAnsiTheme="minorEastAsia" w:eastAsiaTheme="minorEastAsia"/>
          <w:szCs w:val="21"/>
        </w:rPr>
        <w:t>亿元人民币</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、委托服务时间：</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bCs/>
          <w:szCs w:val="21"/>
          <w:u w:val="single"/>
        </w:rPr>
        <w:t>签订合同之日起至竣工结算完成并通过有关部门审计之日</w:t>
      </w:r>
      <w:r>
        <w:rPr>
          <w:rFonts w:hint="eastAsia" w:asciiTheme="minorEastAsia" w:hAnsiTheme="minorEastAsia" w:eastAsiaTheme="minorEastAsia"/>
          <w:szCs w:val="21"/>
        </w:rPr>
        <w:t xml:space="preserve"> 。</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、委托代理的事项：</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（1）协助招标相关文件报批（如需要）；</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（2）发布资格预审</w:t>
      </w:r>
      <w:r>
        <w:rPr>
          <w:rFonts w:hint="eastAsia" w:asciiTheme="minorEastAsia" w:hAnsiTheme="minorEastAsia" w:eastAsiaTheme="minorEastAsia"/>
          <w:szCs w:val="21"/>
        </w:rPr>
        <w:t>或</w:t>
      </w:r>
      <w:r>
        <w:rPr>
          <w:rFonts w:asciiTheme="minorEastAsia" w:hAnsiTheme="minorEastAsia" w:eastAsiaTheme="minorEastAsia"/>
          <w:szCs w:val="21"/>
        </w:rPr>
        <w:t>招标公告；</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（3）编制</w:t>
      </w:r>
      <w:r>
        <w:rPr>
          <w:rFonts w:hint="eastAsia" w:asciiTheme="minorEastAsia" w:hAnsiTheme="minorEastAsia" w:eastAsiaTheme="minorEastAsia"/>
          <w:szCs w:val="21"/>
        </w:rPr>
        <w:t>、报审、印刷和发放</w:t>
      </w:r>
      <w:r>
        <w:rPr>
          <w:rFonts w:asciiTheme="minorEastAsia" w:hAnsiTheme="minorEastAsia" w:eastAsiaTheme="minorEastAsia"/>
          <w:szCs w:val="21"/>
        </w:rPr>
        <w:t>资格预审文件；</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接收</w:t>
      </w:r>
      <w:r>
        <w:rPr>
          <w:rFonts w:asciiTheme="minorEastAsia" w:hAnsiTheme="minorEastAsia" w:eastAsiaTheme="minorEastAsia"/>
          <w:szCs w:val="21"/>
        </w:rPr>
        <w:t>投标申请人报名；</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接收</w:t>
      </w:r>
      <w:r>
        <w:rPr>
          <w:rFonts w:asciiTheme="minorEastAsia" w:hAnsiTheme="minorEastAsia" w:eastAsiaTheme="minorEastAsia"/>
          <w:szCs w:val="21"/>
        </w:rPr>
        <w:t>资格预审</w:t>
      </w:r>
      <w:r>
        <w:rPr>
          <w:rFonts w:hint="eastAsia" w:asciiTheme="minorEastAsia" w:hAnsiTheme="minorEastAsia" w:eastAsiaTheme="minorEastAsia"/>
          <w:szCs w:val="21"/>
        </w:rPr>
        <w:t>申请</w:t>
      </w:r>
      <w:r>
        <w:rPr>
          <w:rFonts w:asciiTheme="minorEastAsia" w:hAnsiTheme="minorEastAsia" w:eastAsiaTheme="minorEastAsia"/>
          <w:szCs w:val="21"/>
        </w:rPr>
        <w:t>文件</w:t>
      </w:r>
      <w:r>
        <w:rPr>
          <w:rFonts w:hint="eastAsia" w:asciiTheme="minorEastAsia" w:hAnsiTheme="minorEastAsia" w:eastAsiaTheme="minorEastAsia"/>
          <w:szCs w:val="21"/>
        </w:rPr>
        <w:t>，</w:t>
      </w:r>
      <w:r>
        <w:rPr>
          <w:rFonts w:asciiTheme="minorEastAsia" w:hAnsiTheme="minorEastAsia" w:eastAsiaTheme="minorEastAsia"/>
          <w:szCs w:val="21"/>
        </w:rPr>
        <w:t>组织资格审查；</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（6）编制</w:t>
      </w:r>
      <w:r>
        <w:rPr>
          <w:rFonts w:hint="eastAsia" w:asciiTheme="minorEastAsia" w:hAnsiTheme="minorEastAsia" w:eastAsiaTheme="minorEastAsia"/>
          <w:szCs w:val="21"/>
        </w:rPr>
        <w:t>、报审、印刷和发放</w:t>
      </w:r>
      <w:r>
        <w:rPr>
          <w:rFonts w:asciiTheme="minorEastAsia" w:hAnsiTheme="minorEastAsia" w:eastAsiaTheme="minorEastAsia"/>
          <w:szCs w:val="21"/>
        </w:rPr>
        <w:t>招标文件；</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（7）接收投标人报名；</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8</w:t>
      </w:r>
      <w:r>
        <w:rPr>
          <w:rFonts w:asciiTheme="minorEastAsia" w:hAnsiTheme="minorEastAsia" w:eastAsiaTheme="minorEastAsia"/>
          <w:szCs w:val="21"/>
        </w:rPr>
        <w:t>）组织现场踏勘</w:t>
      </w:r>
      <w:r>
        <w:rPr>
          <w:rFonts w:hint="eastAsia" w:asciiTheme="minorEastAsia" w:hAnsiTheme="minorEastAsia" w:eastAsiaTheme="minorEastAsia"/>
          <w:szCs w:val="21"/>
        </w:rPr>
        <w:t>、召开标前会议、</w:t>
      </w:r>
      <w:r>
        <w:rPr>
          <w:rFonts w:asciiTheme="minorEastAsia" w:hAnsiTheme="minorEastAsia" w:eastAsiaTheme="minorEastAsia"/>
          <w:szCs w:val="21"/>
        </w:rPr>
        <w:t>编制</w:t>
      </w:r>
      <w:r>
        <w:rPr>
          <w:rFonts w:hint="eastAsia" w:asciiTheme="minorEastAsia" w:hAnsiTheme="minorEastAsia" w:eastAsiaTheme="minorEastAsia"/>
          <w:szCs w:val="21"/>
        </w:rPr>
        <w:t>和发放招标文件的澄清和</w:t>
      </w:r>
      <w:r>
        <w:rPr>
          <w:rFonts w:asciiTheme="minorEastAsia" w:hAnsiTheme="minorEastAsia" w:eastAsiaTheme="minorEastAsia"/>
          <w:szCs w:val="21"/>
        </w:rPr>
        <w:t>答疑；</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9</w:t>
      </w:r>
      <w:r>
        <w:rPr>
          <w:rFonts w:asciiTheme="minorEastAsia" w:hAnsiTheme="minorEastAsia" w:eastAsiaTheme="minorEastAsia"/>
          <w:szCs w:val="21"/>
        </w:rPr>
        <w:t>）组织开标、评标；</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0</w:t>
      </w:r>
      <w:r>
        <w:rPr>
          <w:rFonts w:asciiTheme="minorEastAsia" w:hAnsiTheme="minorEastAsia" w:eastAsiaTheme="minorEastAsia"/>
          <w:szCs w:val="21"/>
        </w:rPr>
        <w:t>）</w:t>
      </w:r>
      <w:r>
        <w:rPr>
          <w:rFonts w:hint="eastAsia" w:asciiTheme="minorEastAsia" w:hAnsiTheme="minorEastAsia" w:eastAsiaTheme="minorEastAsia"/>
          <w:szCs w:val="21"/>
        </w:rPr>
        <w:t>印刷装订评标报告，</w:t>
      </w:r>
      <w:r>
        <w:rPr>
          <w:rFonts w:asciiTheme="minorEastAsia" w:hAnsiTheme="minorEastAsia" w:eastAsiaTheme="minorEastAsia"/>
          <w:szCs w:val="21"/>
        </w:rPr>
        <w:t>编制招投标情况书面报告</w:t>
      </w:r>
      <w:r>
        <w:rPr>
          <w:rFonts w:hint="eastAsia" w:asciiTheme="minorEastAsia" w:hAnsiTheme="minorEastAsia" w:eastAsiaTheme="minorEastAsia"/>
          <w:szCs w:val="21"/>
        </w:rPr>
        <w:t>向主管部门报批</w:t>
      </w:r>
      <w:r>
        <w:rPr>
          <w:rFonts w:asciiTheme="minorEastAsia" w:hAnsiTheme="minorEastAsia" w:eastAsiaTheme="minorEastAsia"/>
          <w:szCs w:val="21"/>
        </w:rPr>
        <w:t>（如需要）；</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szCs w:val="21"/>
        </w:rPr>
        <w:t>发布中标公示</w:t>
      </w:r>
      <w:r>
        <w:rPr>
          <w:rFonts w:asciiTheme="minorEastAsia" w:hAnsiTheme="minorEastAsia" w:eastAsiaTheme="minorEastAsia"/>
          <w:szCs w:val="21"/>
        </w:rPr>
        <w:t>；</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编制和发放中标通知书；</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3</w:t>
      </w:r>
      <w:r>
        <w:rPr>
          <w:rFonts w:asciiTheme="minorEastAsia" w:hAnsiTheme="minorEastAsia" w:eastAsiaTheme="minorEastAsia"/>
          <w:szCs w:val="21"/>
        </w:rPr>
        <w:t>）协助合同的谈判</w:t>
      </w:r>
      <w:r>
        <w:rPr>
          <w:rFonts w:hint="eastAsia" w:asciiTheme="minorEastAsia" w:hAnsiTheme="minorEastAsia" w:eastAsiaTheme="minorEastAsia"/>
          <w:szCs w:val="21"/>
        </w:rPr>
        <w:t>、</w:t>
      </w:r>
      <w:r>
        <w:rPr>
          <w:rFonts w:asciiTheme="minorEastAsia" w:hAnsiTheme="minorEastAsia" w:eastAsiaTheme="minorEastAsia"/>
          <w:szCs w:val="21"/>
        </w:rPr>
        <w:t>草拟合同</w:t>
      </w:r>
      <w:r>
        <w:rPr>
          <w:rFonts w:hint="eastAsia" w:asciiTheme="minorEastAsia" w:hAnsiTheme="minorEastAsia" w:eastAsiaTheme="minorEastAsia"/>
          <w:szCs w:val="21"/>
        </w:rPr>
        <w:t>；</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按照甲方档案归档要求提供项目招标归档资料（纸质版及电子版）</w:t>
      </w:r>
      <w:r>
        <w:rPr>
          <w:rFonts w:asciiTheme="minorEastAsia" w:hAnsiTheme="minorEastAsia" w:eastAsiaTheme="minorEastAsia"/>
          <w:szCs w:val="21"/>
        </w:rPr>
        <w:t>；</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5</w:t>
      </w:r>
      <w:r>
        <w:rPr>
          <w:rFonts w:asciiTheme="minorEastAsia" w:hAnsiTheme="minorEastAsia" w:eastAsiaTheme="minorEastAsia"/>
          <w:szCs w:val="21"/>
        </w:rPr>
        <w:t>）其它</w:t>
      </w:r>
      <w:r>
        <w:rPr>
          <w:rFonts w:hint="eastAsia" w:asciiTheme="minorEastAsia" w:hAnsiTheme="minorEastAsia" w:eastAsiaTheme="minorEastAsia"/>
          <w:szCs w:val="21"/>
        </w:rPr>
        <w:t>与招标</w:t>
      </w:r>
      <w:r>
        <w:rPr>
          <w:rFonts w:asciiTheme="minorEastAsia" w:hAnsiTheme="minorEastAsia" w:eastAsiaTheme="minorEastAsia"/>
          <w:szCs w:val="21"/>
        </w:rPr>
        <w:t>相关</w:t>
      </w:r>
      <w:r>
        <w:rPr>
          <w:rFonts w:hint="eastAsia" w:asciiTheme="minorEastAsia" w:hAnsiTheme="minorEastAsia" w:eastAsiaTheme="minorEastAsia"/>
          <w:szCs w:val="21"/>
        </w:rPr>
        <w:t>的</w:t>
      </w:r>
      <w:r>
        <w:rPr>
          <w:rFonts w:asciiTheme="minorEastAsia" w:hAnsiTheme="minorEastAsia" w:eastAsiaTheme="minorEastAsia"/>
          <w:szCs w:val="21"/>
        </w:rPr>
        <w:t>事宜。</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委托人</w:t>
      </w:r>
      <w:r>
        <w:rPr>
          <w:rFonts w:hint="eastAsia" w:asciiTheme="minorEastAsia" w:hAnsiTheme="minorEastAsia" w:eastAsiaTheme="minorEastAsia"/>
          <w:szCs w:val="21"/>
        </w:rPr>
        <w:t>可根据标段的具体情况，对以上事项进行调整。</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三、委托人的权利</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1、委托人有权参与招投标的有关活动</w:t>
      </w:r>
      <w:r>
        <w:rPr>
          <w:rFonts w:hint="eastAsia" w:asciiTheme="minorEastAsia" w:hAnsiTheme="minorEastAsia" w:eastAsiaTheme="minorEastAsia"/>
          <w:szCs w:val="21"/>
        </w:rPr>
        <w:t>，审定招标（资审）文件（含澄清与答疑）、中标通知书、招投标情况书面报告</w:t>
      </w:r>
      <w:r>
        <w:rPr>
          <w:rFonts w:asciiTheme="minorEastAsia" w:hAnsiTheme="minorEastAsia" w:eastAsiaTheme="minorEastAsia"/>
          <w:szCs w:val="21"/>
        </w:rPr>
        <w:t>。</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2、委托人有权要求代理人及时提供代理工作阶段性的进展情况。</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3、委托人有权要求代理人更换不称职的人员或应回避的人员。</w:t>
      </w:r>
    </w:p>
    <w:p>
      <w:pPr>
        <w:snapToGrid w:val="0"/>
        <w:spacing w:line="360"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4、委托人有权确定代理人的具体工作内容。</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5、委托人根据各标段代理人的实际工作表现综合、客观评价，</w:t>
      </w:r>
      <w:r>
        <w:rPr>
          <w:rFonts w:hint="eastAsia" w:asciiTheme="minorEastAsia" w:hAnsiTheme="minorEastAsia" w:eastAsiaTheme="minorEastAsia"/>
          <w:bCs/>
          <w:szCs w:val="21"/>
        </w:rPr>
        <w:t>有权调整部分标段的招标代理单位，各招标代理单位均应服从。</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、如委托人或建设行政主管部门发现代理人在代理活动中违反有关的法律、法规或建设程序并经确认，委托人有权要求代理人纠正，直至</w:t>
      </w:r>
      <w:r>
        <w:rPr>
          <w:rFonts w:hint="eastAsia" w:asciiTheme="minorEastAsia" w:hAnsiTheme="minorEastAsia" w:eastAsiaTheme="minorEastAsia"/>
          <w:szCs w:val="21"/>
        </w:rPr>
        <w:t>终</w:t>
      </w:r>
      <w:r>
        <w:rPr>
          <w:rFonts w:asciiTheme="minorEastAsia" w:hAnsiTheme="minorEastAsia" w:eastAsiaTheme="minorEastAsia"/>
          <w:szCs w:val="21"/>
        </w:rPr>
        <w:t>止合同。</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四、委托人的义务和责任</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1、委托人在代理人开展招标代理业务之前应在代理人的协助下按照有关规定办全本项目招标所需的有关审批手续，使招标工作具备条件。</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2、委托人应当向代理人及时、无偿、真实、详细的提供招投标代理工作范围内所需的文件和资料（如建设批文、地质勘察资料、施工图纸等）。</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drawing>
          <wp:anchor distT="0" distB="0" distL="114300" distR="114300" simplePos="0" relativeHeight="251658240" behindDoc="1" locked="0" layoutInCell="1" allowOverlap="1">
            <wp:simplePos x="0" y="0"/>
            <wp:positionH relativeFrom="page">
              <wp:posOffset>-12700</wp:posOffset>
            </wp:positionH>
            <wp:positionV relativeFrom="page">
              <wp:posOffset>-12700</wp:posOffset>
            </wp:positionV>
            <wp:extent cx="38100" cy="38100"/>
            <wp:effectExtent l="19050" t="0" r="0" b="0"/>
            <wp:wrapNone/>
            <wp:docPr id="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pic:cNvPicPr>
                      <a:picLocks noChangeAspect="1" noChangeArrowheads="1"/>
                    </pic:cNvPicPr>
                  </pic:nvPicPr>
                  <pic:blipFill>
                    <a:blip r:embed="rId11" cstate="print"/>
                    <a:srcRect/>
                    <a:stretch>
                      <a:fillRect/>
                    </a:stretch>
                  </pic:blipFill>
                  <pic:spPr>
                    <a:xfrm>
                      <a:off x="0" y="0"/>
                      <a:ext cx="38100" cy="38100"/>
                    </a:xfrm>
                    <a:prstGeom prst="rect">
                      <a:avLst/>
                    </a:prstGeom>
                    <a:noFill/>
                    <a:ln w="9525">
                      <a:noFill/>
                      <a:miter lim="800000"/>
                      <a:headEnd/>
                      <a:tailEnd/>
                    </a:ln>
                  </pic:spPr>
                </pic:pic>
              </a:graphicData>
            </a:graphic>
          </wp:anchor>
        </w:drawing>
      </w:r>
      <w:r>
        <w:rPr>
          <w:rFonts w:asciiTheme="minorEastAsia" w:hAnsiTheme="minorEastAsia" w:eastAsiaTheme="minorEastAsia"/>
          <w:szCs w:val="21"/>
        </w:rPr>
        <w:drawing>
          <wp:anchor distT="0" distB="0" distL="114300" distR="114300" simplePos="0" relativeHeight="251657216" behindDoc="1" locked="0" layoutInCell="1" allowOverlap="1">
            <wp:simplePos x="0" y="0"/>
            <wp:positionH relativeFrom="page">
              <wp:posOffset>2764790</wp:posOffset>
            </wp:positionH>
            <wp:positionV relativeFrom="page">
              <wp:posOffset>7780655</wp:posOffset>
            </wp:positionV>
            <wp:extent cx="26035" cy="38100"/>
            <wp:effectExtent l="19050" t="0" r="0" b="0"/>
            <wp:wrapNone/>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noChangeArrowheads="1"/>
                    </pic:cNvPicPr>
                  </pic:nvPicPr>
                  <pic:blipFill>
                    <a:blip r:embed="rId12" cstate="print"/>
                    <a:srcRect/>
                    <a:stretch>
                      <a:fillRect/>
                    </a:stretch>
                  </pic:blipFill>
                  <pic:spPr>
                    <a:xfrm>
                      <a:off x="0" y="0"/>
                      <a:ext cx="26035" cy="38100"/>
                    </a:xfrm>
                    <a:prstGeom prst="rect">
                      <a:avLst/>
                    </a:prstGeom>
                    <a:noFill/>
                    <a:ln w="9525">
                      <a:noFill/>
                      <a:miter lim="800000"/>
                      <a:headEnd/>
                      <a:tailEnd/>
                    </a:ln>
                  </pic:spPr>
                </pic:pic>
              </a:graphicData>
            </a:graphic>
          </wp:anchor>
        </w:drawing>
      </w:r>
      <w:r>
        <w:rPr>
          <w:rFonts w:asciiTheme="minorEastAsia" w:hAnsiTheme="minorEastAsia" w:eastAsiaTheme="minorEastAsia"/>
          <w:szCs w:val="21"/>
        </w:rPr>
        <w:t>3、对代理人提出的书面要求，委托人应当在</w:t>
      </w:r>
      <w:r>
        <w:rPr>
          <w:rFonts w:hint="eastAsia" w:asciiTheme="minorEastAsia" w:hAnsiTheme="minorEastAsia" w:eastAsiaTheme="minorEastAsia"/>
          <w:szCs w:val="21"/>
        </w:rPr>
        <w:t>3</w:t>
      </w:r>
      <w:r>
        <w:rPr>
          <w:rFonts w:asciiTheme="minorEastAsia" w:hAnsiTheme="minorEastAsia" w:eastAsiaTheme="minorEastAsia"/>
          <w:szCs w:val="21"/>
        </w:rPr>
        <w:t>个工作日内做出书面答复，如因此造成的时间延长由委托人负责。</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4、在合同履行期间，委派</w:t>
      </w:r>
      <w:r>
        <w:rPr>
          <w:rFonts w:hint="eastAsia" w:asciiTheme="minorEastAsia" w:hAnsiTheme="minorEastAsia" w:eastAsiaTheme="minorEastAsia"/>
          <w:szCs w:val="21"/>
        </w:rPr>
        <w:t>专人</w:t>
      </w:r>
      <w:r>
        <w:rPr>
          <w:rFonts w:asciiTheme="minorEastAsia" w:hAnsiTheme="minorEastAsia" w:eastAsiaTheme="minorEastAsia"/>
          <w:szCs w:val="21"/>
        </w:rPr>
        <w:t>配合代理人工作。</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5、委托代理咨询项目中如内容、时间等有重大调整，委托人应当书面提前2个工作日通知代理人，以便调整相应的工作安排，如因此造成的时间延长由委托人负责。</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6、委托人不得泄露依法应当保密的任何信息。</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7、在法律规定的时限内签订合同。</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8、承担由于自己过失造成代理人的经济损失。</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9、委托方及其工作人员，不得以任何形式向代理人收受或索要回扣、好处费、礼金、有价证券和其它礼物；不得在代理人报销应由个人支付的费用。</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五、代理人的权利</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1、有权拒绝违反国家法律、法规和规章以及建设行政主管部门有关规定的人为干预。</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2、依据国家有关法律法规的规定，在授权范围内办理委托项目的招标工作。</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3、有权建议更换不称职或有其它原因不宜参与招标活动的委托方人员。</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4、如委托人的某些条件和要求不符合现行的法律、法规或程序，代理人可以建议委托人进行修改。拒不修改的，代理人有权</w:t>
      </w:r>
      <w:r>
        <w:rPr>
          <w:rFonts w:hint="eastAsia" w:asciiTheme="minorEastAsia" w:hAnsiTheme="minorEastAsia" w:eastAsiaTheme="minorEastAsia"/>
          <w:szCs w:val="21"/>
        </w:rPr>
        <w:t>终</w:t>
      </w:r>
      <w:r>
        <w:rPr>
          <w:rFonts w:asciiTheme="minorEastAsia" w:hAnsiTheme="minorEastAsia" w:eastAsiaTheme="minorEastAsia"/>
          <w:szCs w:val="21"/>
        </w:rPr>
        <w:t>止履行合同。</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六、代理人的义务和责任</w:t>
      </w:r>
    </w:p>
    <w:p>
      <w:pPr>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bCs/>
          <w:szCs w:val="21"/>
        </w:rPr>
        <w:t>1、代理人派驻委托人施工现场2名工作人员，分别为：</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；每周在现场不得少于5天，在未经委托人的书面同意下，不得擅自离开现场。</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2、按照国家法律、法规以及建设行政主管部门的有关规定从事招投标代理活动。代理人在代理活动中有重大过错或者累计三次以上的过失，或者故意损害委托人利益一次以上行为的，委托方有权解除合同。</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3、在委托授权范围内为委托方提供招标代理服务，不得将本合同所确定的招标代理服务转让给第三方，否则委托人有权解除合同。</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4、有义务向委托方提供招标计划以及相关的招投标资料，</w:t>
      </w:r>
      <w:r>
        <w:rPr>
          <w:rFonts w:hint="eastAsia" w:asciiTheme="minorEastAsia" w:hAnsiTheme="minorEastAsia" w:eastAsiaTheme="minorEastAsia"/>
          <w:szCs w:val="21"/>
        </w:rPr>
        <w:t>并在评标结束后按照委托方的要求提供必须的评标归档文件和资料，配合委托方工作的开展；</w:t>
      </w:r>
      <w:r>
        <w:rPr>
          <w:rFonts w:asciiTheme="minorEastAsia" w:hAnsiTheme="minorEastAsia" w:eastAsiaTheme="minorEastAsia"/>
          <w:szCs w:val="21"/>
        </w:rPr>
        <w:t>做好相关法律、法规及规章的解释工作。</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5、代理人工作人员如与本工程潜在投标人有任何利益关系应主动提出回避。</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规范开、评标工作流程，</w:t>
      </w:r>
      <w:r>
        <w:rPr>
          <w:rFonts w:asciiTheme="minorEastAsia" w:hAnsiTheme="minorEastAsia" w:eastAsiaTheme="minorEastAsia"/>
          <w:szCs w:val="21"/>
        </w:rPr>
        <w:t>在代理活动中不得泄露依法应当保密的任何信息。</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7、对代理过程中提出的技术方案、数据参数、技术经济分析结论负责。</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8、代理人成立招标代理项目组，并任命</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为</w:t>
      </w:r>
      <w:r>
        <w:rPr>
          <w:rFonts w:asciiTheme="minorEastAsia" w:hAnsiTheme="minorEastAsia" w:eastAsiaTheme="minorEastAsia"/>
          <w:szCs w:val="21"/>
        </w:rPr>
        <w:t>项目组组长，负责该项目招标代理工作。</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因代理人原因导致评标异常或未按委托人要求提交必须的归档资料缺失，委托人有权扣取不超过10%的招标代理费（含税）作为补偿；因代理人的单方过失造成的经济损失，应当向委托人进行赔偿。累计赔偿总额不应超过建设工程招标代理服务费总额（除去税金）。</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10、因不可抗力导致代理合同不能全部或部分履行，经委托人书面确认不可抗力属实的，代理人不承担责任。</w:t>
      </w:r>
    </w:p>
    <w:p>
      <w:pPr>
        <w:snapToGrid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、有义务每年向委托方免费提供一次招标相关业务培训。</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12、代理人不得采用行贿、给予其他利益或者诋毁他人等不正当手段进行竞争。</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13、各标段招标代理结束后15日内，应将招投标过程中所产生的文件及相关资料原件全部移交给委托人。</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七、招标代理服务收费的计取</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按照国家计委关于印发《招标代理服务收费管理暂行办法》的通知（计价格[2002]1980 号）</w:t>
      </w:r>
      <w:r>
        <w:rPr>
          <w:rFonts w:hint="eastAsia" w:asciiTheme="minorEastAsia" w:hAnsiTheme="minorEastAsia" w:eastAsiaTheme="minorEastAsia"/>
          <w:szCs w:val="21"/>
        </w:rPr>
        <w:t>计算的费用乘以</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w:t>
      </w:r>
      <w:r>
        <w:rPr>
          <w:rFonts w:hint="eastAsia" w:asciiTheme="minorEastAsia" w:hAnsiTheme="minorEastAsia" w:eastAsiaTheme="minorEastAsia"/>
          <w:szCs w:val="21"/>
        </w:rPr>
        <w:t>为</w:t>
      </w:r>
      <w:r>
        <w:rPr>
          <w:rFonts w:asciiTheme="minorEastAsia" w:hAnsiTheme="minorEastAsia" w:eastAsiaTheme="minorEastAsia"/>
          <w:szCs w:val="21"/>
        </w:rPr>
        <w:t>本</w:t>
      </w:r>
      <w:r>
        <w:rPr>
          <w:rFonts w:hint="eastAsia" w:asciiTheme="minorEastAsia" w:hAnsiTheme="minorEastAsia" w:eastAsiaTheme="minorEastAsia"/>
          <w:szCs w:val="21"/>
        </w:rPr>
        <w:t>合同</w:t>
      </w:r>
      <w:r>
        <w:rPr>
          <w:rFonts w:asciiTheme="minorEastAsia" w:hAnsiTheme="minorEastAsia" w:eastAsiaTheme="minorEastAsia"/>
          <w:szCs w:val="21"/>
        </w:rPr>
        <w:t>招标代理服务费，</w:t>
      </w:r>
      <w:r>
        <w:rPr>
          <w:rFonts w:hint="eastAsia" w:asciiTheme="minorEastAsia" w:hAnsiTheme="minorEastAsia" w:eastAsiaTheme="minorEastAsia"/>
          <w:szCs w:val="21"/>
        </w:rPr>
        <w:t>招标人</w:t>
      </w:r>
      <w:r>
        <w:rPr>
          <w:rFonts w:asciiTheme="minorEastAsia" w:hAnsiTheme="minorEastAsia" w:eastAsiaTheme="minorEastAsia"/>
          <w:szCs w:val="21"/>
        </w:rPr>
        <w:t>每</w:t>
      </w:r>
      <w:r>
        <w:rPr>
          <w:rFonts w:hint="eastAsia" w:asciiTheme="minorEastAsia" w:hAnsiTheme="minorEastAsia" w:eastAsiaTheme="minorEastAsia"/>
          <w:szCs w:val="21"/>
        </w:rPr>
        <w:t>6个月</w:t>
      </w:r>
      <w:r>
        <w:rPr>
          <w:rFonts w:asciiTheme="minorEastAsia" w:hAnsiTheme="minorEastAsia" w:eastAsiaTheme="minorEastAsia"/>
          <w:szCs w:val="21"/>
        </w:rPr>
        <w:t>支付一次。</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八、违约和争议的解决</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1、由于一方违约造成的另一方损失，由违约方承担，另一方要求违约方继续履行合同时，违约方在承担赔偿损失的违约责任后仍应继续履行合同。</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2、由于违约造成第三方损失的，也由违约方在赔偿另一方损失的基础上再赔偿第三方损失。</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3、双方对代理合同条款变更时必须另签补充合同条款，补充合同条款作为本代理合同的组成部分与主合同具有同等法律效力。</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4、委托人与代理人在合同履行期间发生争议时，可以和解或者要求有关主管部门调解。一方不愿和解、调解或者和解、调解不成的，可以向</w:t>
      </w:r>
      <w:r>
        <w:rPr>
          <w:rFonts w:hint="eastAsia" w:asciiTheme="minorEastAsia" w:hAnsiTheme="minorEastAsia" w:eastAsiaTheme="minorEastAsia"/>
          <w:szCs w:val="21"/>
        </w:rPr>
        <w:t>委托人所在地人民法院起诉。</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九、合同份数</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双方约定合同正本一式陆份，委托人肆份、代理人贰份。</w:t>
      </w:r>
    </w:p>
    <w:p>
      <w:pPr>
        <w:snapToGrid w:val="0"/>
        <w:spacing w:line="360" w:lineRule="auto"/>
        <w:ind w:firstLine="420" w:firstLineChars="200"/>
        <w:rPr>
          <w:rFonts w:asciiTheme="minorEastAsia" w:hAnsiTheme="minorEastAsia" w:eastAsiaTheme="minorEastAsia"/>
          <w:szCs w:val="21"/>
        </w:rPr>
      </w:pP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委托人：（盖章） </w:t>
      </w:r>
      <w:r>
        <w:rPr>
          <w:rFonts w:hint="eastAsia" w:asciiTheme="minorEastAsia" w:hAnsiTheme="minorEastAsia" w:eastAsiaTheme="minorEastAsia"/>
          <w:szCs w:val="21"/>
        </w:rPr>
        <w:t xml:space="preserve">                                     </w:t>
      </w:r>
      <w:r>
        <w:rPr>
          <w:rFonts w:asciiTheme="minorEastAsia" w:hAnsiTheme="minorEastAsia" w:eastAsiaTheme="minorEastAsia"/>
          <w:szCs w:val="21"/>
        </w:rPr>
        <w:t>代理人：（盖章）</w:t>
      </w:r>
    </w:p>
    <w:p>
      <w:pPr>
        <w:spacing w:line="400" w:lineRule="exact"/>
        <w:jc w:val="center"/>
        <w:outlineLvl w:val="0"/>
        <w:rPr>
          <w:sz w:val="32"/>
          <w:szCs w:val="32"/>
        </w:rPr>
      </w:pPr>
    </w:p>
    <w:p>
      <w:pPr>
        <w:spacing w:line="400" w:lineRule="exact"/>
        <w:jc w:val="center"/>
        <w:outlineLvl w:val="0"/>
        <w:rPr>
          <w:sz w:val="36"/>
          <w:szCs w:val="36"/>
        </w:rPr>
      </w:pPr>
      <w:bookmarkStart w:id="83" w:name="_Toc46325210"/>
      <w:r>
        <w:rPr>
          <w:rFonts w:hint="eastAsia"/>
          <w:sz w:val="36"/>
          <w:szCs w:val="36"/>
        </w:rPr>
        <w:t>第五章</w:t>
      </w:r>
      <w:r>
        <w:rPr>
          <w:sz w:val="36"/>
          <w:szCs w:val="36"/>
        </w:rPr>
        <w:t xml:space="preserve"> </w:t>
      </w:r>
      <w:r>
        <w:rPr>
          <w:rFonts w:hint="eastAsia"/>
          <w:sz w:val="36"/>
          <w:szCs w:val="36"/>
        </w:rPr>
        <w:t>投标文件格式</w:t>
      </w:r>
      <w:bookmarkEnd w:id="83"/>
    </w:p>
    <w:p>
      <w:pPr>
        <w:jc w:val="center"/>
        <w:rPr>
          <w:sz w:val="32"/>
          <w:szCs w:val="32"/>
        </w:rPr>
      </w:pPr>
    </w:p>
    <w:p>
      <w:pPr>
        <w:widowControl/>
        <w:spacing w:line="360" w:lineRule="auto"/>
        <w:jc w:val="center"/>
        <w:outlineLvl w:val="0"/>
        <w:rPr>
          <w:rFonts w:asciiTheme="minorEastAsia" w:hAnsiTheme="minorEastAsia" w:eastAsiaTheme="minorEastAsia"/>
          <w:kern w:val="0"/>
          <w:szCs w:val="21"/>
        </w:rPr>
      </w:pPr>
      <w:bookmarkStart w:id="84" w:name="_Toc46325211"/>
      <w:r>
        <w:rPr>
          <w:rFonts w:hint="eastAsia" w:asciiTheme="minorEastAsia" w:hAnsiTheme="minorEastAsia" w:eastAsiaTheme="minorEastAsia"/>
          <w:kern w:val="0"/>
          <w:szCs w:val="21"/>
        </w:rPr>
        <w:t>一、投标函</w:t>
      </w:r>
      <w:bookmarkEnd w:id="84"/>
    </w:p>
    <w:p>
      <w:pPr>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u w:val="single"/>
        </w:rPr>
        <w:t xml:space="preserve">     （招标人）        </w:t>
      </w:r>
      <w:r>
        <w:rPr>
          <w:rFonts w:hint="eastAsia" w:asciiTheme="minorEastAsia" w:hAnsiTheme="minorEastAsia" w:eastAsiaTheme="minorEastAsia"/>
          <w:szCs w:val="21"/>
        </w:rPr>
        <w:t xml:space="preserve"> ：</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（一）根据已收到的公开招标项目招标代理的招标文件，我单位经研究招标文件和有关资料后，我单位愿意按下列费用，遵照招标文件的要求承担 第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标段  服务工作。 </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以国家计委关于印发《招标代理服务收费管理暂行办法》的通知（计价格[2002]1980号）及国家发展改革委办公厅关于招标代理服务收费有关问题的通知（发改办价格[2003]857号）规定的招标代理服务费率为基础乘以</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%计取本项目的招标代理服务费用。 </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（二）我单位将严格按照国家法律、法规以及建设行政主管部门的有关规定和招标文件要求，认真履行义务，确保工程建设顺利进展。 </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（三）贵单位的招标文件、中标通知书和本投标文件将构成约束我们双方的合同。 </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（四）我方指派</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为本项目的负责人。 </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（五）我们理解，贵单位不一定接受最低报价的投标单位或贵单位接到的其他任何投标人。同时也理解，贵单位不负担我们的任何投标费用。 </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（六）我方理解，我单位的报价充分考虑了各种不利因素及合理的利润在内，承诺在投标现场不会恶意竞争，知晓本项目采用一次性报价，贵公司无义务必须接受价格最低的投标，并有权拒绝所有的投标。</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（七）如果我方中标，我方将按要求签订合同，并承诺在合同执行期内不会对中标价格作任何调整。</w:t>
      </w:r>
    </w:p>
    <w:p>
      <w:pPr>
        <w:snapToGrid w:val="0"/>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（八）如果我方中标，我方理解招标人有权调整部分项目的招标代理单位，对此无任何质疑。</w:t>
      </w:r>
    </w:p>
    <w:p>
      <w:pPr>
        <w:snapToGrid w:val="0"/>
        <w:spacing w:line="360" w:lineRule="auto"/>
        <w:ind w:firstLine="420" w:firstLineChars="200"/>
        <w:jc w:val="left"/>
        <w:rPr>
          <w:rFonts w:asciiTheme="minorEastAsia" w:hAnsiTheme="minorEastAsia" w:eastAsiaTheme="minorEastAsia"/>
          <w:szCs w:val="21"/>
        </w:rPr>
      </w:pPr>
    </w:p>
    <w:p>
      <w:pPr>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投标单位：（盖章）</w:t>
      </w:r>
    </w:p>
    <w:p>
      <w:pPr>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地址：                    </w:t>
      </w:r>
    </w:p>
    <w:p>
      <w:pPr>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固定电话：</w:t>
      </w:r>
    </w:p>
    <w:p>
      <w:pPr>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法定代表人或授权委托人：（签字） </w:t>
      </w:r>
    </w:p>
    <w:p>
      <w:pPr>
        <w:snapToGrid w:val="0"/>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日期：      年     月     日</w:t>
      </w:r>
    </w:p>
    <w:p>
      <w:pPr>
        <w:widowControl/>
        <w:spacing w:line="360" w:lineRule="auto"/>
        <w:jc w:val="center"/>
        <w:outlineLvl w:val="0"/>
        <w:rPr>
          <w:rFonts w:asciiTheme="minorEastAsia" w:hAnsiTheme="minorEastAsia" w:eastAsiaTheme="minorEastAsia"/>
          <w:kern w:val="0"/>
          <w:szCs w:val="21"/>
        </w:rPr>
      </w:pPr>
      <w:r>
        <w:rPr>
          <w:rFonts w:asciiTheme="minorEastAsia" w:hAnsiTheme="minorEastAsia" w:eastAsiaTheme="minorEastAsia"/>
          <w:szCs w:val="21"/>
        </w:rPr>
        <w:br w:type="page"/>
      </w:r>
      <w:bookmarkStart w:id="85" w:name="_Toc46325212"/>
      <w:r>
        <w:rPr>
          <w:rFonts w:hint="eastAsia" w:asciiTheme="minorEastAsia" w:hAnsiTheme="minorEastAsia" w:eastAsiaTheme="minorEastAsia"/>
          <w:kern w:val="0"/>
          <w:szCs w:val="21"/>
        </w:rPr>
        <w:t>二、授权委托书</w:t>
      </w:r>
      <w:bookmarkEnd w:id="85"/>
    </w:p>
    <w:p>
      <w:pPr>
        <w:spacing w:line="360" w:lineRule="auto"/>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u w:val="single"/>
        </w:rPr>
      </w:pPr>
      <w:r>
        <w:rPr>
          <w:rFonts w:hint="eastAsia" w:asciiTheme="minorEastAsia" w:hAnsiTheme="minorEastAsia" w:eastAsiaTheme="minorEastAsia"/>
          <w:szCs w:val="21"/>
          <w:u w:val="single"/>
        </w:rPr>
        <w:t xml:space="preserve">（招标人）： </w:t>
      </w:r>
    </w:p>
    <w:p>
      <w:pPr>
        <w:spacing w:line="360" w:lineRule="auto"/>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    本授权委托书声明：我</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 xml:space="preserve">系 </w:t>
      </w:r>
      <w:r>
        <w:rPr>
          <w:rFonts w:hint="eastAsia" w:asciiTheme="minorEastAsia" w:hAnsiTheme="minorEastAsia" w:eastAsiaTheme="minorEastAsia"/>
          <w:szCs w:val="21"/>
          <w:u w:val="single"/>
        </w:rPr>
        <w:t xml:space="preserve">        （投标单位名称）     </w:t>
      </w:r>
      <w:r>
        <w:rPr>
          <w:rFonts w:hint="eastAsia" w:asciiTheme="minorEastAsia" w:hAnsiTheme="minorEastAsia" w:eastAsiaTheme="minorEastAsia"/>
          <w:szCs w:val="21"/>
        </w:rPr>
        <w:t xml:space="preserve">    的法定代表人，现授权委托</w:t>
      </w:r>
      <w:r>
        <w:rPr>
          <w:rFonts w:hint="eastAsia" w:asciiTheme="minorEastAsia" w:hAnsiTheme="minorEastAsia" w:eastAsiaTheme="minorEastAsia"/>
          <w:szCs w:val="21"/>
          <w:u w:val="single"/>
        </w:rPr>
        <w:t xml:space="preserve">          （单位名称）      </w:t>
      </w:r>
      <w:r>
        <w:rPr>
          <w:rFonts w:hint="eastAsia" w:asciiTheme="minorEastAsia" w:hAnsiTheme="minorEastAsia" w:eastAsiaTheme="minorEastAsia"/>
          <w:szCs w:val="21"/>
        </w:rPr>
        <w:t xml:space="preserve">的 </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为我的授权代理人。以本公司的名义参加</w:t>
      </w:r>
      <w:r>
        <w:rPr>
          <w:rFonts w:hint="eastAsia" w:asciiTheme="minorEastAsia" w:hAnsiTheme="minorEastAsia" w:eastAsiaTheme="minorEastAsia"/>
          <w:szCs w:val="21"/>
          <w:u w:val="single"/>
        </w:rPr>
        <w:t xml:space="preserve">   （项目、标段名称）   </w:t>
      </w:r>
      <w:r>
        <w:rPr>
          <w:rFonts w:hint="eastAsia" w:asciiTheme="minorEastAsia" w:hAnsiTheme="minorEastAsia" w:eastAsiaTheme="minorEastAsia"/>
          <w:szCs w:val="21"/>
        </w:rPr>
        <w:t xml:space="preserve"> 招标代理的招标，授权委托人递交投标文件、评标、合同谈判过程中所签署的一切文件和处理与之有关的一切事务，我均予以承认。 </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授权委托人无转让权。特此委托。 </w:t>
      </w:r>
    </w:p>
    <w:p>
      <w:pPr>
        <w:spacing w:line="360" w:lineRule="auto"/>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单位：（盖章） </w:t>
      </w:r>
    </w:p>
    <w:p>
      <w:pPr>
        <w:spacing w:line="360" w:lineRule="auto"/>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法定代表人：（签字） </w:t>
      </w:r>
    </w:p>
    <w:p>
      <w:pPr>
        <w:spacing w:line="360" w:lineRule="auto"/>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日期：      年     月     日</w:t>
      </w:r>
    </w:p>
    <w:p>
      <w:pPr>
        <w:widowControl/>
        <w:spacing w:line="360" w:lineRule="auto"/>
        <w:jc w:val="center"/>
        <w:outlineLvl w:val="0"/>
        <w:rPr>
          <w:rFonts w:asciiTheme="minorEastAsia" w:hAnsiTheme="minorEastAsia" w:eastAsiaTheme="minorEastAsia"/>
          <w:kern w:val="0"/>
          <w:szCs w:val="21"/>
        </w:rPr>
      </w:pPr>
      <w:r>
        <w:rPr>
          <w:rFonts w:asciiTheme="minorEastAsia" w:hAnsiTheme="minorEastAsia" w:eastAsiaTheme="minorEastAsia"/>
          <w:szCs w:val="21"/>
        </w:rPr>
        <w:br w:type="page"/>
      </w:r>
      <w:bookmarkStart w:id="86" w:name="_Toc46325213"/>
      <w:r>
        <w:rPr>
          <w:rFonts w:hint="eastAsia" w:asciiTheme="minorEastAsia" w:hAnsiTheme="minorEastAsia" w:eastAsiaTheme="minorEastAsia"/>
          <w:kern w:val="0"/>
          <w:szCs w:val="21"/>
        </w:rPr>
        <w:t>三、企业一般情况表</w:t>
      </w:r>
      <w:bookmarkEnd w:id="86"/>
    </w:p>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 xml:space="preserve">表1、投标单位一般情况表 </w:t>
      </w:r>
    </w:p>
    <w:tbl>
      <w:tblPr>
        <w:tblStyle w:val="41"/>
        <w:tblW w:w="9522" w:type="dxa"/>
        <w:jc w:val="center"/>
        <w:tblLayout w:type="fixed"/>
        <w:tblCellMar>
          <w:top w:w="0" w:type="dxa"/>
          <w:left w:w="0" w:type="dxa"/>
          <w:bottom w:w="0" w:type="dxa"/>
          <w:right w:w="0" w:type="dxa"/>
        </w:tblCellMar>
      </w:tblPr>
      <w:tblGrid>
        <w:gridCol w:w="1500"/>
        <w:gridCol w:w="1252"/>
        <w:gridCol w:w="1980"/>
        <w:gridCol w:w="1425"/>
        <w:gridCol w:w="1500"/>
        <w:gridCol w:w="910"/>
        <w:gridCol w:w="955"/>
      </w:tblGrid>
      <w:tr>
        <w:tblPrEx>
          <w:tblCellMar>
            <w:top w:w="0" w:type="dxa"/>
            <w:left w:w="0" w:type="dxa"/>
            <w:bottom w:w="0" w:type="dxa"/>
            <w:right w:w="0" w:type="dxa"/>
          </w:tblCellMar>
        </w:tblPrEx>
        <w:trPr>
          <w:trHeight w:val="402" w:hRule="atLeast"/>
          <w:jc w:val="center"/>
        </w:trPr>
        <w:tc>
          <w:tcPr>
            <w:tcW w:w="1500" w:type="dxa"/>
            <w:tcBorders>
              <w:top w:val="single" w:color="auto" w:sz="4" w:space="0"/>
              <w:left w:val="single" w:color="auto" w:sz="4" w:space="0"/>
              <w:bottom w:val="single" w:color="auto" w:sz="4" w:space="0"/>
              <w:right w:val="single" w:color="auto" w:sz="4" w:space="0"/>
            </w:tcBorders>
            <w:tcMar>
              <w:top w:w="30" w:type="dxa"/>
              <w:left w:w="30" w:type="dxa"/>
              <w:bottom w:w="0" w:type="dxa"/>
              <w:right w:w="30" w:type="dxa"/>
            </w:tcMar>
            <w:vAlign w:val="center"/>
          </w:tcPr>
          <w:p>
            <w:pPr>
              <w:spacing w:line="360" w:lineRule="auto"/>
              <w:jc w:val="center"/>
              <w:rPr>
                <w:rFonts w:cs="Arial Unicode MS" w:asciiTheme="minorEastAsia" w:hAnsiTheme="minorEastAsia" w:eastAsiaTheme="minorEastAsia"/>
                <w:szCs w:val="21"/>
              </w:rPr>
            </w:pPr>
            <w:r>
              <w:rPr>
                <w:rFonts w:hint="eastAsia" w:asciiTheme="minorEastAsia" w:hAnsiTheme="minorEastAsia" w:eastAsiaTheme="minorEastAsia"/>
                <w:kern w:val="0"/>
                <w:szCs w:val="21"/>
              </w:rPr>
              <w:t>单位名称</w:t>
            </w:r>
          </w:p>
        </w:tc>
        <w:tc>
          <w:tcPr>
            <w:tcW w:w="4657" w:type="dxa"/>
            <w:gridSpan w:val="3"/>
            <w:tcBorders>
              <w:top w:val="single" w:color="auto" w:sz="4" w:space="0"/>
              <w:left w:val="single" w:color="auto" w:sz="4" w:space="0"/>
              <w:bottom w:val="single" w:color="auto" w:sz="4" w:space="0"/>
              <w:right w:val="nil"/>
            </w:tcBorders>
            <w:tcMar>
              <w:top w:w="30" w:type="dxa"/>
              <w:left w:w="30" w:type="dxa"/>
              <w:bottom w:w="0" w:type="dxa"/>
              <w:right w:w="30" w:type="dxa"/>
            </w:tcMar>
            <w:vAlign w:val="center"/>
          </w:tcPr>
          <w:p>
            <w:pPr>
              <w:spacing w:line="360" w:lineRule="auto"/>
              <w:rPr>
                <w:rFonts w:asciiTheme="minorEastAsia" w:hAnsiTheme="minorEastAsia" w:eastAsiaTheme="minorEastAsia"/>
                <w:szCs w:val="21"/>
              </w:rPr>
            </w:pPr>
          </w:p>
        </w:tc>
        <w:tc>
          <w:tcPr>
            <w:tcW w:w="1500" w:type="dxa"/>
            <w:tcBorders>
              <w:top w:val="single" w:color="auto" w:sz="4" w:space="0"/>
              <w:left w:val="single" w:color="auto" w:sz="4" w:space="0"/>
              <w:bottom w:val="single" w:color="auto" w:sz="4" w:space="0"/>
              <w:right w:val="single" w:color="auto" w:sz="4" w:space="0"/>
            </w:tcBorders>
            <w:tcMar>
              <w:top w:w="30" w:type="dxa"/>
              <w:left w:w="30" w:type="dxa"/>
              <w:bottom w:w="0" w:type="dxa"/>
              <w:right w:w="30" w:type="dxa"/>
            </w:tcMar>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kern w:val="0"/>
                <w:szCs w:val="21"/>
              </w:rPr>
              <w:t>企业类型</w:t>
            </w:r>
          </w:p>
        </w:tc>
        <w:tc>
          <w:tcPr>
            <w:tcW w:w="1865" w:type="dxa"/>
            <w:gridSpan w:val="2"/>
            <w:tcBorders>
              <w:top w:val="single" w:color="auto" w:sz="4" w:space="0"/>
              <w:left w:val="nil"/>
              <w:bottom w:val="single" w:color="auto" w:sz="4" w:space="0"/>
              <w:right w:val="single" w:color="auto" w:sz="4" w:space="0"/>
            </w:tcBorders>
            <w:tcMar>
              <w:top w:w="30" w:type="dxa"/>
              <w:left w:w="30" w:type="dxa"/>
              <w:bottom w:w="0" w:type="dxa"/>
              <w:right w:w="30" w:type="dxa"/>
            </w:tcMar>
            <w:vAlign w:val="center"/>
          </w:tcPr>
          <w:p>
            <w:pPr>
              <w:spacing w:line="360" w:lineRule="auto"/>
              <w:rPr>
                <w:rFonts w:cs="Arial Unicode MS" w:asciiTheme="minorEastAsia" w:hAnsiTheme="minorEastAsia" w:eastAsiaTheme="minorEastAsia"/>
                <w:szCs w:val="21"/>
              </w:rPr>
            </w:pPr>
          </w:p>
        </w:tc>
      </w:tr>
      <w:tr>
        <w:tblPrEx>
          <w:tblCellMar>
            <w:top w:w="0" w:type="dxa"/>
            <w:left w:w="0" w:type="dxa"/>
            <w:bottom w:w="0" w:type="dxa"/>
            <w:right w:w="0" w:type="dxa"/>
          </w:tblCellMar>
        </w:tblPrEx>
        <w:trPr>
          <w:trHeight w:val="402" w:hRule="atLeast"/>
          <w:jc w:val="center"/>
        </w:trPr>
        <w:tc>
          <w:tcPr>
            <w:tcW w:w="1500" w:type="dxa"/>
            <w:tcBorders>
              <w:top w:val="nil"/>
              <w:left w:val="single" w:color="auto" w:sz="4" w:space="0"/>
              <w:right w:val="single" w:color="auto" w:sz="4" w:space="0"/>
            </w:tcBorders>
            <w:tcMar>
              <w:top w:w="30" w:type="dxa"/>
              <w:left w:w="30" w:type="dxa"/>
              <w:bottom w:w="0" w:type="dxa"/>
              <w:right w:w="30" w:type="dxa"/>
            </w:tcMar>
            <w:vAlign w:val="center"/>
          </w:tcPr>
          <w:p>
            <w:pPr>
              <w:spacing w:line="360" w:lineRule="auto"/>
              <w:jc w:val="center"/>
              <w:rPr>
                <w:rFonts w:cs="Arial Unicode MS" w:asciiTheme="minorEastAsia" w:hAnsiTheme="minorEastAsia" w:eastAsiaTheme="minorEastAsia"/>
                <w:szCs w:val="21"/>
              </w:rPr>
            </w:pPr>
            <w:r>
              <w:rPr>
                <w:rFonts w:hint="eastAsia" w:asciiTheme="minorEastAsia" w:hAnsiTheme="minorEastAsia" w:eastAsiaTheme="minorEastAsia"/>
                <w:szCs w:val="21"/>
              </w:rPr>
              <w:t>营业执照</w:t>
            </w:r>
          </w:p>
        </w:tc>
        <w:tc>
          <w:tcPr>
            <w:tcW w:w="8022" w:type="dxa"/>
            <w:gridSpan w:val="6"/>
            <w:tcBorders>
              <w:top w:val="single" w:color="000000" w:sz="4" w:space="0"/>
              <w:left w:val="nil"/>
              <w:bottom w:val="nil"/>
              <w:right w:val="single" w:color="000000" w:sz="4" w:space="0"/>
            </w:tcBorders>
            <w:tcMar>
              <w:top w:w="30" w:type="dxa"/>
              <w:left w:w="30" w:type="dxa"/>
              <w:bottom w:w="0" w:type="dxa"/>
              <w:right w:w="30" w:type="dxa"/>
            </w:tcMar>
            <w:vAlign w:val="center"/>
          </w:tcPr>
          <w:p>
            <w:pPr>
              <w:spacing w:line="360" w:lineRule="auto"/>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 xml:space="preserve"> 主营业务：    </w:t>
            </w:r>
            <w:r>
              <w:rPr>
                <w:rFonts w:asciiTheme="minorEastAsia" w:hAnsiTheme="minorEastAsia" w:eastAsiaTheme="minorEastAsia"/>
                <w:szCs w:val="21"/>
              </w:rPr>
              <w:t>2.</w:t>
            </w:r>
            <w:r>
              <w:rPr>
                <w:rFonts w:hint="eastAsia" w:asciiTheme="minorEastAsia" w:hAnsiTheme="minorEastAsia" w:eastAsiaTheme="minorEastAsia"/>
                <w:szCs w:val="21"/>
              </w:rPr>
              <w:t xml:space="preserve">编号：    </w:t>
            </w:r>
            <w:r>
              <w:rPr>
                <w:rFonts w:asciiTheme="minorEastAsia" w:hAnsiTheme="minorEastAsia" w:eastAsiaTheme="minorEastAsia"/>
                <w:szCs w:val="21"/>
              </w:rPr>
              <w:t>3.</w:t>
            </w:r>
            <w:r>
              <w:rPr>
                <w:rFonts w:hint="eastAsia" w:asciiTheme="minorEastAsia" w:hAnsiTheme="minorEastAsia" w:eastAsiaTheme="minorEastAsia"/>
                <w:szCs w:val="21"/>
              </w:rPr>
              <w:t>发照单位：</w:t>
            </w:r>
          </w:p>
        </w:tc>
      </w:tr>
      <w:tr>
        <w:tblPrEx>
          <w:tblCellMar>
            <w:top w:w="0" w:type="dxa"/>
            <w:left w:w="0" w:type="dxa"/>
            <w:bottom w:w="0" w:type="dxa"/>
            <w:right w:w="0" w:type="dxa"/>
          </w:tblCellMar>
        </w:tblPrEx>
        <w:trPr>
          <w:trHeight w:val="402" w:hRule="atLeast"/>
          <w:jc w:val="center"/>
        </w:trPr>
        <w:tc>
          <w:tcPr>
            <w:tcW w:w="1500" w:type="dxa"/>
            <w:tcBorders>
              <w:top w:val="single" w:color="auto" w:sz="4" w:space="0"/>
              <w:left w:val="single" w:color="auto" w:sz="4" w:space="0"/>
              <w:bottom w:val="single" w:color="auto" w:sz="4" w:space="0"/>
              <w:right w:val="single" w:color="auto" w:sz="4" w:space="0"/>
            </w:tcBorders>
            <w:tcMar>
              <w:top w:w="30" w:type="dxa"/>
              <w:left w:w="30" w:type="dxa"/>
              <w:bottom w:w="0" w:type="dxa"/>
              <w:right w:w="30" w:type="dxa"/>
            </w:tcMar>
            <w:vAlign w:val="center"/>
          </w:tcPr>
          <w:p>
            <w:pPr>
              <w:spacing w:line="360" w:lineRule="auto"/>
              <w:jc w:val="center"/>
              <w:rPr>
                <w:rFonts w:cs="Arial Unicode MS" w:asciiTheme="minorEastAsia" w:hAnsiTheme="minorEastAsia" w:eastAsiaTheme="minorEastAsia"/>
                <w:szCs w:val="21"/>
              </w:rPr>
            </w:pPr>
            <w:r>
              <w:rPr>
                <w:rFonts w:hint="eastAsia" w:asciiTheme="minorEastAsia" w:hAnsiTheme="minorEastAsia" w:eastAsiaTheme="minorEastAsia"/>
                <w:szCs w:val="21"/>
              </w:rPr>
              <w:t>企业性质</w:t>
            </w:r>
          </w:p>
        </w:tc>
        <w:tc>
          <w:tcPr>
            <w:tcW w:w="8022" w:type="dxa"/>
            <w:gridSpan w:val="6"/>
            <w:tcBorders>
              <w:top w:val="single" w:color="auto" w:sz="4" w:space="0"/>
              <w:left w:val="nil"/>
              <w:bottom w:val="single" w:color="auto" w:sz="4" w:space="0"/>
              <w:right w:val="single" w:color="000000" w:sz="4" w:space="0"/>
            </w:tcBorders>
            <w:tcMar>
              <w:top w:w="30" w:type="dxa"/>
              <w:left w:w="30" w:type="dxa"/>
              <w:bottom w:w="0" w:type="dxa"/>
              <w:right w:w="30" w:type="dxa"/>
            </w:tcMar>
            <w:vAlign w:val="center"/>
          </w:tcPr>
          <w:p>
            <w:pPr>
              <w:spacing w:line="360" w:lineRule="auto"/>
              <w:rPr>
                <w:rFonts w:asciiTheme="minorEastAsia" w:hAnsiTheme="minorEastAsia" w:eastAsiaTheme="minorEastAsia"/>
                <w:szCs w:val="21"/>
              </w:rPr>
            </w:pPr>
            <w:r>
              <w:rPr>
                <w:rFonts w:asciiTheme="minorEastAsia" w:hAnsiTheme="minorEastAsia" w:eastAsiaTheme="minorEastAsia"/>
                <w:szCs w:val="21"/>
              </w:rPr>
              <w:t>1.等级：     2.证书号 ：    3.发证单位：</w:t>
            </w:r>
          </w:p>
        </w:tc>
      </w:tr>
      <w:tr>
        <w:tblPrEx>
          <w:tblCellMar>
            <w:top w:w="0" w:type="dxa"/>
            <w:left w:w="0" w:type="dxa"/>
            <w:bottom w:w="0" w:type="dxa"/>
            <w:right w:w="0" w:type="dxa"/>
          </w:tblCellMar>
        </w:tblPrEx>
        <w:trPr>
          <w:trHeight w:val="402" w:hRule="atLeast"/>
          <w:jc w:val="center"/>
        </w:trPr>
        <w:tc>
          <w:tcPr>
            <w:tcW w:w="1500" w:type="dxa"/>
            <w:tcBorders>
              <w:top w:val="single" w:color="auto" w:sz="4" w:space="0"/>
              <w:left w:val="single" w:color="auto" w:sz="4" w:space="0"/>
              <w:bottom w:val="single" w:color="auto" w:sz="4" w:space="0"/>
              <w:right w:val="single" w:color="auto" w:sz="4" w:space="0"/>
            </w:tcBorders>
            <w:tcMar>
              <w:top w:w="30" w:type="dxa"/>
              <w:left w:w="30" w:type="dxa"/>
              <w:bottom w:w="0" w:type="dxa"/>
              <w:right w:w="30" w:type="dxa"/>
            </w:tcMar>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企业成立日期</w:t>
            </w:r>
          </w:p>
        </w:tc>
        <w:tc>
          <w:tcPr>
            <w:tcW w:w="1252" w:type="dxa"/>
            <w:tcBorders>
              <w:top w:val="single" w:color="auto" w:sz="4" w:space="0"/>
              <w:left w:val="nil"/>
              <w:bottom w:val="single" w:color="auto" w:sz="4" w:space="0"/>
              <w:right w:val="nil"/>
            </w:tcBorders>
            <w:tcMar>
              <w:top w:w="30" w:type="dxa"/>
              <w:left w:w="30" w:type="dxa"/>
              <w:bottom w:w="0" w:type="dxa"/>
              <w:right w:w="30" w:type="dxa"/>
            </w:tcMar>
            <w:vAlign w:val="center"/>
          </w:tcPr>
          <w:p>
            <w:pPr>
              <w:spacing w:line="360" w:lineRule="auto"/>
              <w:ind w:left="105" w:leftChars="50" w:firstLine="105" w:firstLineChars="50"/>
              <w:rPr>
                <w:rFonts w:asciiTheme="minorEastAsia" w:hAnsiTheme="minorEastAsia" w:eastAsiaTheme="minorEastAsia"/>
                <w:szCs w:val="21"/>
              </w:rPr>
            </w:pPr>
          </w:p>
        </w:tc>
        <w:tc>
          <w:tcPr>
            <w:tcW w:w="1980" w:type="dxa"/>
            <w:tcBorders>
              <w:top w:val="single" w:color="auto" w:sz="4" w:space="0"/>
              <w:left w:val="single" w:color="auto" w:sz="4" w:space="0"/>
              <w:bottom w:val="single" w:color="auto" w:sz="4" w:space="0"/>
              <w:right w:val="single" w:color="auto" w:sz="4" w:space="0"/>
            </w:tcBorders>
            <w:tcMar>
              <w:top w:w="30" w:type="dxa"/>
              <w:left w:w="30" w:type="dxa"/>
              <w:bottom w:w="0" w:type="dxa"/>
              <w:right w:w="30" w:type="dxa"/>
            </w:tcMar>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注册资本（万元）</w:t>
            </w:r>
          </w:p>
        </w:tc>
        <w:tc>
          <w:tcPr>
            <w:tcW w:w="1425" w:type="dxa"/>
            <w:tcBorders>
              <w:top w:val="single" w:color="auto" w:sz="4" w:space="0"/>
              <w:left w:val="nil"/>
              <w:bottom w:val="single" w:color="auto" w:sz="4" w:space="0"/>
              <w:right w:val="nil"/>
            </w:tcBorders>
            <w:tcMar>
              <w:top w:w="30" w:type="dxa"/>
              <w:left w:w="30" w:type="dxa"/>
              <w:bottom w:w="0" w:type="dxa"/>
              <w:right w:w="30" w:type="dxa"/>
            </w:tcMar>
            <w:vAlign w:val="center"/>
          </w:tcPr>
          <w:p>
            <w:pPr>
              <w:spacing w:line="360" w:lineRule="auto"/>
              <w:ind w:firstLine="420" w:firstLineChars="200"/>
              <w:rPr>
                <w:rFonts w:asciiTheme="minorEastAsia" w:hAnsiTheme="minorEastAsia" w:eastAsiaTheme="minorEastAsia"/>
                <w:szCs w:val="21"/>
              </w:rPr>
            </w:pPr>
          </w:p>
        </w:tc>
        <w:tc>
          <w:tcPr>
            <w:tcW w:w="2410" w:type="dxa"/>
            <w:gridSpan w:val="2"/>
            <w:tcBorders>
              <w:top w:val="single" w:color="auto" w:sz="4" w:space="0"/>
              <w:left w:val="single" w:color="auto" w:sz="4" w:space="0"/>
              <w:bottom w:val="single" w:color="auto" w:sz="4" w:space="0"/>
              <w:right w:val="single" w:color="000000" w:sz="4" w:space="0"/>
            </w:tcBorders>
            <w:tcMar>
              <w:top w:w="30" w:type="dxa"/>
              <w:left w:w="30" w:type="dxa"/>
              <w:bottom w:w="0" w:type="dxa"/>
              <w:right w:w="30" w:type="dxa"/>
            </w:tcMar>
            <w:vAlign w:val="center"/>
          </w:tcPr>
          <w:p>
            <w:pPr>
              <w:spacing w:line="360" w:lineRule="auto"/>
              <w:rPr>
                <w:rFonts w:cs="Arial Unicode MS" w:asciiTheme="minorEastAsia" w:hAnsiTheme="minorEastAsia" w:eastAsiaTheme="minorEastAsia"/>
                <w:szCs w:val="21"/>
              </w:rPr>
            </w:pPr>
            <w:r>
              <w:rPr>
                <w:rFonts w:hint="eastAsia" w:asciiTheme="minorEastAsia" w:hAnsiTheme="minorEastAsia" w:eastAsiaTheme="minorEastAsia"/>
                <w:szCs w:val="21"/>
              </w:rPr>
              <w:t>现有职工总人数（人）</w:t>
            </w:r>
          </w:p>
        </w:tc>
        <w:tc>
          <w:tcPr>
            <w:tcW w:w="955" w:type="dxa"/>
            <w:tcBorders>
              <w:top w:val="single" w:color="auto" w:sz="4" w:space="0"/>
              <w:left w:val="nil"/>
              <w:bottom w:val="single" w:color="auto" w:sz="4" w:space="0"/>
              <w:right w:val="single" w:color="auto" w:sz="4" w:space="0"/>
            </w:tcBorders>
            <w:tcMar>
              <w:top w:w="30" w:type="dxa"/>
              <w:left w:w="30" w:type="dxa"/>
              <w:bottom w:w="0" w:type="dxa"/>
              <w:right w:w="30" w:type="dxa"/>
            </w:tcMar>
            <w:vAlign w:val="center"/>
          </w:tcPr>
          <w:p>
            <w:pPr>
              <w:spacing w:line="360" w:lineRule="auto"/>
              <w:ind w:firstLine="210" w:firstLineChars="100"/>
              <w:rPr>
                <w:rFonts w:asciiTheme="minorEastAsia" w:hAnsiTheme="minorEastAsia" w:eastAsiaTheme="minorEastAsia"/>
                <w:szCs w:val="21"/>
              </w:rPr>
            </w:pPr>
          </w:p>
        </w:tc>
      </w:tr>
      <w:tr>
        <w:tblPrEx>
          <w:tblCellMar>
            <w:top w:w="0" w:type="dxa"/>
            <w:left w:w="0" w:type="dxa"/>
            <w:bottom w:w="0" w:type="dxa"/>
            <w:right w:w="0" w:type="dxa"/>
          </w:tblCellMar>
        </w:tblPrEx>
        <w:trPr>
          <w:trHeight w:val="402" w:hRule="atLeast"/>
          <w:jc w:val="center"/>
        </w:trPr>
        <w:tc>
          <w:tcPr>
            <w:tcW w:w="1500" w:type="dxa"/>
            <w:tcBorders>
              <w:top w:val="nil"/>
              <w:left w:val="single" w:color="auto" w:sz="4" w:space="0"/>
              <w:bottom w:val="single" w:color="auto" w:sz="4" w:space="0"/>
              <w:right w:val="single" w:color="auto" w:sz="4" w:space="0"/>
            </w:tcBorders>
            <w:tcMar>
              <w:top w:w="30" w:type="dxa"/>
              <w:left w:w="30" w:type="dxa"/>
              <w:bottom w:w="0" w:type="dxa"/>
              <w:right w:w="30" w:type="dxa"/>
            </w:tcMar>
            <w:vAlign w:val="center"/>
          </w:tcPr>
          <w:p>
            <w:pPr>
              <w:spacing w:line="360" w:lineRule="auto"/>
              <w:jc w:val="center"/>
              <w:rPr>
                <w:rFonts w:cs="Arial Unicode MS" w:asciiTheme="minorEastAsia" w:hAnsiTheme="minorEastAsia" w:eastAsiaTheme="minorEastAsia"/>
                <w:szCs w:val="21"/>
              </w:rPr>
            </w:pPr>
            <w:r>
              <w:rPr>
                <w:rFonts w:hint="eastAsia" w:asciiTheme="minorEastAsia" w:hAnsiTheme="minorEastAsia" w:eastAsiaTheme="minorEastAsia"/>
                <w:szCs w:val="21"/>
              </w:rPr>
              <w:t>法定代表人</w:t>
            </w:r>
          </w:p>
        </w:tc>
        <w:tc>
          <w:tcPr>
            <w:tcW w:w="8022" w:type="dxa"/>
            <w:gridSpan w:val="6"/>
            <w:tcBorders>
              <w:top w:val="single" w:color="auto" w:sz="4" w:space="0"/>
              <w:left w:val="nil"/>
              <w:bottom w:val="single" w:color="auto" w:sz="4" w:space="0"/>
              <w:right w:val="single" w:color="000000" w:sz="4" w:space="0"/>
            </w:tcBorders>
            <w:tcMar>
              <w:top w:w="30" w:type="dxa"/>
              <w:left w:w="30" w:type="dxa"/>
              <w:bottom w:w="0" w:type="dxa"/>
              <w:right w:w="30" w:type="dxa"/>
            </w:tcMar>
            <w:vAlign w:val="center"/>
          </w:tcPr>
          <w:p>
            <w:pPr>
              <w:spacing w:line="360" w:lineRule="auto"/>
              <w:rPr>
                <w:rFonts w:cs="Arial Unicode MS" w:asciiTheme="minorEastAsia" w:hAnsiTheme="minorEastAsia" w:eastAsiaTheme="minorEastAsia"/>
                <w:szCs w:val="21"/>
              </w:rPr>
            </w:pPr>
            <w:r>
              <w:rPr>
                <w:rFonts w:hint="eastAsia" w:asciiTheme="minorEastAsia" w:hAnsiTheme="minorEastAsia" w:eastAsiaTheme="minorEastAsia"/>
                <w:szCs w:val="21"/>
              </w:rPr>
              <w:t>1.姓名： 2.职称：     3.联系方式:</w:t>
            </w:r>
          </w:p>
        </w:tc>
      </w:tr>
      <w:tr>
        <w:tblPrEx>
          <w:tblCellMar>
            <w:top w:w="0" w:type="dxa"/>
            <w:left w:w="0" w:type="dxa"/>
            <w:bottom w:w="0" w:type="dxa"/>
            <w:right w:w="0" w:type="dxa"/>
          </w:tblCellMar>
        </w:tblPrEx>
        <w:trPr>
          <w:trHeight w:val="402" w:hRule="atLeast"/>
          <w:jc w:val="center"/>
        </w:trPr>
        <w:tc>
          <w:tcPr>
            <w:tcW w:w="1500" w:type="dxa"/>
            <w:tcBorders>
              <w:top w:val="nil"/>
              <w:left w:val="single" w:color="auto" w:sz="4" w:space="0"/>
              <w:bottom w:val="single" w:color="auto" w:sz="4" w:space="0"/>
              <w:right w:val="single" w:color="auto" w:sz="4" w:space="0"/>
            </w:tcBorders>
            <w:tcMar>
              <w:top w:w="30" w:type="dxa"/>
              <w:left w:w="30" w:type="dxa"/>
              <w:bottom w:w="0" w:type="dxa"/>
              <w:right w:w="30" w:type="dxa"/>
            </w:tcMar>
            <w:vAlign w:val="center"/>
          </w:tcPr>
          <w:p>
            <w:pPr>
              <w:spacing w:line="360" w:lineRule="auto"/>
              <w:jc w:val="center"/>
              <w:rPr>
                <w:rFonts w:cs="Arial Unicode MS" w:asciiTheme="minorEastAsia" w:hAnsiTheme="minorEastAsia" w:eastAsiaTheme="minorEastAsia"/>
                <w:szCs w:val="21"/>
              </w:rPr>
            </w:pPr>
            <w:r>
              <w:rPr>
                <w:rFonts w:hint="eastAsia" w:asciiTheme="minorEastAsia" w:hAnsiTheme="minorEastAsia" w:eastAsiaTheme="minorEastAsia"/>
                <w:szCs w:val="21"/>
              </w:rPr>
              <w:t>企业地址</w:t>
            </w:r>
          </w:p>
        </w:tc>
        <w:tc>
          <w:tcPr>
            <w:tcW w:w="3232" w:type="dxa"/>
            <w:gridSpan w:val="2"/>
            <w:tcBorders>
              <w:top w:val="single" w:color="auto" w:sz="4" w:space="0"/>
              <w:left w:val="single" w:color="auto" w:sz="4" w:space="0"/>
              <w:bottom w:val="single" w:color="auto" w:sz="4" w:space="0"/>
              <w:right w:val="single" w:color="auto" w:sz="4" w:space="0"/>
            </w:tcBorders>
            <w:tcMar>
              <w:top w:w="30" w:type="dxa"/>
              <w:left w:w="30" w:type="dxa"/>
              <w:bottom w:w="0" w:type="dxa"/>
              <w:right w:w="30" w:type="dxa"/>
            </w:tcMar>
            <w:vAlign w:val="center"/>
          </w:tcPr>
          <w:p>
            <w:pPr>
              <w:spacing w:line="360" w:lineRule="auto"/>
              <w:rPr>
                <w:rFonts w:cs="Arial Unicode MS" w:asciiTheme="minorEastAsia" w:hAnsiTheme="minorEastAsia" w:eastAsiaTheme="minorEastAsia"/>
                <w:szCs w:val="21"/>
              </w:rPr>
            </w:pPr>
            <w:r>
              <w:rPr>
                <w:rFonts w:hint="eastAsia" w:asciiTheme="minorEastAsia" w:hAnsiTheme="minorEastAsia" w:eastAsiaTheme="minorEastAsia"/>
                <w:szCs w:val="21"/>
              </w:rPr>
              <w:t>地址：</w:t>
            </w:r>
          </w:p>
        </w:tc>
        <w:tc>
          <w:tcPr>
            <w:tcW w:w="1425" w:type="dxa"/>
            <w:tcBorders>
              <w:top w:val="single" w:color="auto" w:sz="4" w:space="0"/>
              <w:left w:val="single" w:color="auto" w:sz="4" w:space="0"/>
              <w:bottom w:val="single" w:color="auto" w:sz="4" w:space="0"/>
              <w:right w:val="single" w:color="auto" w:sz="4" w:space="0"/>
            </w:tcBorders>
            <w:tcMar>
              <w:top w:w="30" w:type="dxa"/>
              <w:left w:w="30" w:type="dxa"/>
              <w:bottom w:w="0" w:type="dxa"/>
              <w:right w:w="30" w:type="dxa"/>
            </w:tcMar>
            <w:vAlign w:val="center"/>
          </w:tcPr>
          <w:p>
            <w:pPr>
              <w:spacing w:line="360" w:lineRule="auto"/>
              <w:rPr>
                <w:rFonts w:cs="Arial Unicode MS" w:asciiTheme="minorEastAsia" w:hAnsiTheme="minorEastAsia" w:eastAsiaTheme="minorEastAsia"/>
                <w:szCs w:val="21"/>
              </w:rPr>
            </w:pPr>
            <w:r>
              <w:rPr>
                <w:rFonts w:hint="eastAsia" w:asciiTheme="minorEastAsia" w:hAnsiTheme="minorEastAsia" w:eastAsiaTheme="minorEastAsia"/>
                <w:szCs w:val="21"/>
              </w:rPr>
              <w:t xml:space="preserve">邮编：  </w:t>
            </w:r>
          </w:p>
        </w:tc>
        <w:tc>
          <w:tcPr>
            <w:tcW w:w="2410" w:type="dxa"/>
            <w:gridSpan w:val="2"/>
            <w:tcBorders>
              <w:top w:val="single" w:color="auto" w:sz="4" w:space="0"/>
              <w:left w:val="single" w:color="auto" w:sz="4" w:space="0"/>
              <w:bottom w:val="single" w:color="auto" w:sz="4" w:space="0"/>
              <w:right w:val="single" w:color="auto" w:sz="4" w:space="0"/>
            </w:tcBorders>
            <w:tcMar>
              <w:top w:w="30" w:type="dxa"/>
              <w:left w:w="30" w:type="dxa"/>
              <w:bottom w:w="0" w:type="dxa"/>
              <w:right w:w="30" w:type="dxa"/>
            </w:tcMar>
            <w:vAlign w:val="center"/>
          </w:tcPr>
          <w:p>
            <w:pPr>
              <w:spacing w:line="360" w:lineRule="auto"/>
              <w:rPr>
                <w:rFonts w:cs="Arial Unicode MS" w:asciiTheme="minorEastAsia" w:hAnsiTheme="minorEastAsia" w:eastAsiaTheme="minorEastAsia"/>
                <w:szCs w:val="21"/>
              </w:rPr>
            </w:pPr>
            <w:r>
              <w:rPr>
                <w:rFonts w:hint="eastAsia" w:asciiTheme="minorEastAsia" w:hAnsiTheme="minorEastAsia" w:eastAsiaTheme="minorEastAsia"/>
                <w:szCs w:val="21"/>
              </w:rPr>
              <w:t>电话：</w:t>
            </w:r>
          </w:p>
        </w:tc>
        <w:tc>
          <w:tcPr>
            <w:tcW w:w="955" w:type="dxa"/>
            <w:tcBorders>
              <w:top w:val="single" w:color="auto" w:sz="4" w:space="0"/>
              <w:left w:val="single" w:color="auto" w:sz="4" w:space="0"/>
              <w:bottom w:val="single" w:color="auto" w:sz="4" w:space="0"/>
              <w:right w:val="single" w:color="auto" w:sz="4" w:space="0"/>
            </w:tcBorders>
            <w:tcMar>
              <w:top w:w="30" w:type="dxa"/>
              <w:left w:w="30" w:type="dxa"/>
              <w:bottom w:w="0" w:type="dxa"/>
              <w:right w:w="30" w:type="dxa"/>
            </w:tcMar>
            <w:vAlign w:val="center"/>
          </w:tcPr>
          <w:p>
            <w:pPr>
              <w:spacing w:line="360" w:lineRule="auto"/>
              <w:rPr>
                <w:rFonts w:cs="Arial Unicode MS" w:asciiTheme="minorEastAsia" w:hAnsiTheme="minorEastAsia" w:eastAsiaTheme="minorEastAsia"/>
                <w:szCs w:val="21"/>
              </w:rPr>
            </w:pPr>
            <w:r>
              <w:rPr>
                <w:rFonts w:hint="eastAsia" w:asciiTheme="minorEastAsia" w:hAnsiTheme="minorEastAsia" w:eastAsiaTheme="minorEastAsia"/>
                <w:szCs w:val="21"/>
              </w:rPr>
              <w:t>传真：</w:t>
            </w:r>
          </w:p>
        </w:tc>
      </w:tr>
      <w:tr>
        <w:tblPrEx>
          <w:tblCellMar>
            <w:top w:w="0" w:type="dxa"/>
            <w:left w:w="0" w:type="dxa"/>
            <w:bottom w:w="0" w:type="dxa"/>
            <w:right w:w="0" w:type="dxa"/>
          </w:tblCellMar>
        </w:tblPrEx>
        <w:trPr>
          <w:trHeight w:val="2711" w:hRule="atLeast"/>
          <w:jc w:val="center"/>
        </w:trPr>
        <w:tc>
          <w:tcPr>
            <w:tcW w:w="1500" w:type="dxa"/>
            <w:tcBorders>
              <w:top w:val="single" w:color="auto" w:sz="4" w:space="0"/>
              <w:left w:val="single" w:color="auto" w:sz="4" w:space="0"/>
              <w:bottom w:val="single" w:color="auto" w:sz="4" w:space="0"/>
              <w:right w:val="single" w:color="auto" w:sz="4" w:space="0"/>
            </w:tcBorders>
            <w:tcMar>
              <w:top w:w="30" w:type="dxa"/>
              <w:left w:w="30" w:type="dxa"/>
              <w:bottom w:w="0" w:type="dxa"/>
              <w:right w:w="30" w:type="dxa"/>
            </w:tcMar>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企</w:t>
            </w: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业</w:t>
            </w: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简</w:t>
            </w:r>
          </w:p>
          <w:p>
            <w:pPr>
              <w:spacing w:line="360" w:lineRule="auto"/>
              <w:jc w:val="center"/>
              <w:rPr>
                <w:rFonts w:cs="Arial Unicode MS" w:asciiTheme="minorEastAsia" w:hAnsiTheme="minorEastAsia" w:eastAsiaTheme="minorEastAsia"/>
                <w:szCs w:val="21"/>
              </w:rPr>
            </w:pPr>
            <w:r>
              <w:rPr>
                <w:rFonts w:hint="eastAsia" w:asciiTheme="minorEastAsia" w:hAnsiTheme="minorEastAsia" w:eastAsiaTheme="minorEastAsia"/>
                <w:szCs w:val="21"/>
              </w:rPr>
              <w:t>介</w:t>
            </w:r>
          </w:p>
        </w:tc>
        <w:tc>
          <w:tcPr>
            <w:tcW w:w="8022" w:type="dxa"/>
            <w:gridSpan w:val="6"/>
            <w:tcBorders>
              <w:top w:val="single" w:color="auto" w:sz="4" w:space="0"/>
              <w:left w:val="nil"/>
              <w:bottom w:val="single" w:color="auto" w:sz="4" w:space="0"/>
              <w:right w:val="single" w:color="auto" w:sz="4" w:space="0"/>
            </w:tcBorders>
            <w:tcMar>
              <w:top w:w="30" w:type="dxa"/>
              <w:left w:w="30" w:type="dxa"/>
              <w:bottom w:w="0" w:type="dxa"/>
              <w:right w:w="30" w:type="dxa"/>
            </w:tcMar>
            <w:vAlign w:val="center"/>
          </w:tcPr>
          <w:p>
            <w:pPr>
              <w:spacing w:line="360" w:lineRule="auto"/>
              <w:ind w:firstLine="420" w:firstLineChars="200"/>
              <w:rPr>
                <w:rFonts w:asciiTheme="minorEastAsia" w:hAnsiTheme="minorEastAsia" w:eastAsiaTheme="minorEastAsia"/>
                <w:szCs w:val="21"/>
              </w:rPr>
            </w:pPr>
          </w:p>
        </w:tc>
      </w:tr>
    </w:tbl>
    <w:p>
      <w:pPr>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本表后应附：营业执照、资质证书等证明材料的复印件。</w:t>
      </w:r>
    </w:p>
    <w:p>
      <w:pPr>
        <w:widowControl/>
        <w:spacing w:line="360" w:lineRule="auto"/>
        <w:jc w:val="left"/>
        <w:rPr>
          <w:rFonts w:asciiTheme="minorEastAsia" w:hAnsiTheme="minorEastAsia" w:eastAsiaTheme="minorEastAsia"/>
          <w:kern w:val="0"/>
          <w:szCs w:val="21"/>
        </w:rPr>
      </w:pPr>
    </w:p>
    <w:p>
      <w:pPr>
        <w:widowControl/>
        <w:jc w:val="left"/>
        <w:rPr>
          <w:rFonts w:asciiTheme="minorEastAsia" w:hAnsiTheme="minorEastAsia" w:eastAsiaTheme="minorEastAsia"/>
          <w:kern w:val="0"/>
          <w:szCs w:val="21"/>
        </w:rPr>
      </w:pPr>
      <w:r>
        <w:rPr>
          <w:rFonts w:asciiTheme="minorEastAsia" w:hAnsiTheme="minorEastAsia" w:eastAsiaTheme="minorEastAsia"/>
          <w:kern w:val="0"/>
          <w:szCs w:val="21"/>
        </w:rPr>
        <w:br w:type="page"/>
      </w:r>
    </w:p>
    <w:p>
      <w:pPr>
        <w:widowControl/>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表</w:t>
      </w:r>
      <w:r>
        <w:rPr>
          <w:rFonts w:asciiTheme="minorEastAsia" w:hAnsiTheme="minorEastAsia" w:eastAsiaTheme="minorEastAsia"/>
          <w:kern w:val="0"/>
          <w:szCs w:val="21"/>
        </w:rPr>
        <w:t>2</w:t>
      </w:r>
      <w:r>
        <w:rPr>
          <w:rFonts w:hint="eastAsia" w:asciiTheme="minorEastAsia" w:hAnsiTheme="minorEastAsia" w:eastAsiaTheme="minorEastAsia"/>
          <w:kern w:val="0"/>
          <w:szCs w:val="21"/>
        </w:rPr>
        <w:t>、项目组长及专业人员简历及业绩表</w:t>
      </w:r>
    </w:p>
    <w:tbl>
      <w:tblPr>
        <w:tblStyle w:val="41"/>
        <w:tblW w:w="9497" w:type="dxa"/>
        <w:tblInd w:w="-5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78"/>
        <w:gridCol w:w="2274"/>
        <w:gridCol w:w="1896"/>
        <w:gridCol w:w="3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2178" w:type="dxa"/>
            <w:vAlign w:val="center"/>
          </w:tcPr>
          <w:p>
            <w:pPr>
              <w:autoSpaceDE w:val="0"/>
              <w:autoSpaceDN w:val="0"/>
              <w:adjustRightIn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姓名</w:t>
            </w:r>
          </w:p>
        </w:tc>
        <w:tc>
          <w:tcPr>
            <w:tcW w:w="2274" w:type="dxa"/>
            <w:vAlign w:val="center"/>
          </w:tcPr>
          <w:p>
            <w:pPr>
              <w:autoSpaceDE w:val="0"/>
              <w:autoSpaceDN w:val="0"/>
              <w:adjustRightInd w:val="0"/>
              <w:spacing w:line="360" w:lineRule="auto"/>
              <w:jc w:val="center"/>
              <w:rPr>
                <w:rFonts w:asciiTheme="minorEastAsia" w:hAnsiTheme="minorEastAsia" w:eastAsiaTheme="minorEastAsia"/>
                <w:kern w:val="0"/>
                <w:szCs w:val="21"/>
              </w:rPr>
            </w:pPr>
          </w:p>
        </w:tc>
        <w:tc>
          <w:tcPr>
            <w:tcW w:w="1896" w:type="dxa"/>
            <w:vAlign w:val="center"/>
          </w:tcPr>
          <w:p>
            <w:pPr>
              <w:autoSpaceDE w:val="0"/>
              <w:autoSpaceDN w:val="0"/>
              <w:adjustRightIn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性别</w:t>
            </w:r>
          </w:p>
        </w:tc>
        <w:tc>
          <w:tcPr>
            <w:tcW w:w="3149" w:type="dxa"/>
            <w:vAlign w:val="center"/>
          </w:tcPr>
          <w:p>
            <w:pPr>
              <w:autoSpaceDE w:val="0"/>
              <w:autoSpaceDN w:val="0"/>
              <w:adjustRightInd w:val="0"/>
              <w:spacing w:line="360" w:lineRule="auto"/>
              <w:jc w:val="center"/>
              <w:rPr>
                <w:rFonts w:asciiTheme="minorEastAsia" w:hAnsiTheme="minorEastAsia" w:eastAsiaTheme="minorEastAsi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2178" w:type="dxa"/>
            <w:vAlign w:val="center"/>
          </w:tcPr>
          <w:p>
            <w:pPr>
              <w:autoSpaceDE w:val="0"/>
              <w:autoSpaceDN w:val="0"/>
              <w:adjustRightIn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职务</w:t>
            </w:r>
          </w:p>
        </w:tc>
        <w:tc>
          <w:tcPr>
            <w:tcW w:w="2274" w:type="dxa"/>
            <w:vAlign w:val="center"/>
          </w:tcPr>
          <w:p>
            <w:pPr>
              <w:autoSpaceDE w:val="0"/>
              <w:autoSpaceDN w:val="0"/>
              <w:adjustRightInd w:val="0"/>
              <w:spacing w:line="360" w:lineRule="auto"/>
              <w:jc w:val="center"/>
              <w:rPr>
                <w:rFonts w:asciiTheme="minorEastAsia" w:hAnsiTheme="minorEastAsia" w:eastAsiaTheme="minorEastAsia"/>
                <w:kern w:val="0"/>
                <w:szCs w:val="21"/>
              </w:rPr>
            </w:pPr>
          </w:p>
        </w:tc>
        <w:tc>
          <w:tcPr>
            <w:tcW w:w="1896" w:type="dxa"/>
            <w:vAlign w:val="center"/>
          </w:tcPr>
          <w:p>
            <w:pPr>
              <w:autoSpaceDE w:val="0"/>
              <w:autoSpaceDN w:val="0"/>
              <w:adjustRightIn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职称</w:t>
            </w:r>
          </w:p>
        </w:tc>
        <w:tc>
          <w:tcPr>
            <w:tcW w:w="3149" w:type="dxa"/>
            <w:vAlign w:val="center"/>
          </w:tcPr>
          <w:p>
            <w:pPr>
              <w:autoSpaceDE w:val="0"/>
              <w:autoSpaceDN w:val="0"/>
              <w:adjustRightInd w:val="0"/>
              <w:spacing w:line="360" w:lineRule="auto"/>
              <w:jc w:val="center"/>
              <w:rPr>
                <w:rFonts w:asciiTheme="minorEastAsia" w:hAnsiTheme="minorEastAsia" w:eastAsiaTheme="minorEastAsi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2178" w:type="dxa"/>
            <w:vAlign w:val="center"/>
          </w:tcPr>
          <w:p>
            <w:pPr>
              <w:autoSpaceDE w:val="0"/>
              <w:autoSpaceDN w:val="0"/>
              <w:adjustRightIn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学历</w:t>
            </w:r>
          </w:p>
        </w:tc>
        <w:tc>
          <w:tcPr>
            <w:tcW w:w="2274" w:type="dxa"/>
            <w:vAlign w:val="center"/>
          </w:tcPr>
          <w:p>
            <w:pPr>
              <w:autoSpaceDE w:val="0"/>
              <w:autoSpaceDN w:val="0"/>
              <w:adjustRightInd w:val="0"/>
              <w:spacing w:line="360" w:lineRule="auto"/>
              <w:jc w:val="center"/>
              <w:rPr>
                <w:rFonts w:asciiTheme="minorEastAsia" w:hAnsiTheme="minorEastAsia" w:eastAsiaTheme="minorEastAsia"/>
                <w:kern w:val="0"/>
                <w:szCs w:val="21"/>
              </w:rPr>
            </w:pPr>
          </w:p>
        </w:tc>
        <w:tc>
          <w:tcPr>
            <w:tcW w:w="1896" w:type="dxa"/>
            <w:vAlign w:val="center"/>
          </w:tcPr>
          <w:p>
            <w:pPr>
              <w:autoSpaceDE w:val="0"/>
              <w:autoSpaceDN w:val="0"/>
              <w:adjustRightIn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年龄</w:t>
            </w:r>
          </w:p>
        </w:tc>
        <w:tc>
          <w:tcPr>
            <w:tcW w:w="3149" w:type="dxa"/>
            <w:vAlign w:val="center"/>
          </w:tcPr>
          <w:p>
            <w:pPr>
              <w:autoSpaceDE w:val="0"/>
              <w:autoSpaceDN w:val="0"/>
              <w:adjustRightInd w:val="0"/>
              <w:spacing w:line="360" w:lineRule="auto"/>
              <w:jc w:val="center"/>
              <w:rPr>
                <w:rFonts w:asciiTheme="minorEastAsia" w:hAnsiTheme="minorEastAsia" w:eastAsiaTheme="minorEastAsi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2178" w:type="dxa"/>
            <w:vAlign w:val="center"/>
          </w:tcPr>
          <w:p>
            <w:pPr>
              <w:autoSpaceDE w:val="0"/>
              <w:autoSpaceDN w:val="0"/>
              <w:adjustRightIn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参加工作时间</w:t>
            </w:r>
          </w:p>
        </w:tc>
        <w:tc>
          <w:tcPr>
            <w:tcW w:w="2274" w:type="dxa"/>
            <w:vAlign w:val="center"/>
          </w:tcPr>
          <w:p>
            <w:pPr>
              <w:autoSpaceDE w:val="0"/>
              <w:autoSpaceDN w:val="0"/>
              <w:adjustRightInd w:val="0"/>
              <w:spacing w:line="360" w:lineRule="auto"/>
              <w:jc w:val="center"/>
              <w:rPr>
                <w:rFonts w:asciiTheme="minorEastAsia" w:hAnsiTheme="minorEastAsia" w:eastAsiaTheme="minorEastAsia"/>
                <w:kern w:val="0"/>
                <w:szCs w:val="21"/>
              </w:rPr>
            </w:pPr>
          </w:p>
        </w:tc>
        <w:tc>
          <w:tcPr>
            <w:tcW w:w="1896" w:type="dxa"/>
            <w:vAlign w:val="center"/>
          </w:tcPr>
          <w:p>
            <w:pPr>
              <w:autoSpaceDE w:val="0"/>
              <w:autoSpaceDN w:val="0"/>
              <w:adjustRightIn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执业资格</w:t>
            </w:r>
          </w:p>
        </w:tc>
        <w:tc>
          <w:tcPr>
            <w:tcW w:w="3149" w:type="dxa"/>
            <w:vAlign w:val="center"/>
          </w:tcPr>
          <w:p>
            <w:pPr>
              <w:autoSpaceDE w:val="0"/>
              <w:autoSpaceDN w:val="0"/>
              <w:adjustRightInd w:val="0"/>
              <w:spacing w:line="360" w:lineRule="auto"/>
              <w:jc w:val="center"/>
              <w:rPr>
                <w:rFonts w:asciiTheme="minorEastAsia" w:hAnsiTheme="minorEastAsia" w:eastAsiaTheme="minorEastAsi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2178" w:type="dxa"/>
            <w:vAlign w:val="center"/>
          </w:tcPr>
          <w:p>
            <w:pPr>
              <w:autoSpaceDE w:val="0"/>
              <w:autoSpaceDN w:val="0"/>
              <w:adjustRightIn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专业</w:t>
            </w:r>
          </w:p>
        </w:tc>
        <w:tc>
          <w:tcPr>
            <w:tcW w:w="2274" w:type="dxa"/>
            <w:vAlign w:val="center"/>
          </w:tcPr>
          <w:p>
            <w:pPr>
              <w:autoSpaceDE w:val="0"/>
              <w:autoSpaceDN w:val="0"/>
              <w:adjustRightInd w:val="0"/>
              <w:spacing w:line="360" w:lineRule="auto"/>
              <w:jc w:val="center"/>
              <w:rPr>
                <w:rFonts w:asciiTheme="minorEastAsia" w:hAnsiTheme="minorEastAsia" w:eastAsiaTheme="minorEastAsia"/>
                <w:kern w:val="0"/>
                <w:szCs w:val="21"/>
              </w:rPr>
            </w:pPr>
          </w:p>
        </w:tc>
        <w:tc>
          <w:tcPr>
            <w:tcW w:w="1896" w:type="dxa"/>
            <w:vAlign w:val="center"/>
          </w:tcPr>
          <w:p>
            <w:pPr>
              <w:autoSpaceDE w:val="0"/>
              <w:autoSpaceDN w:val="0"/>
              <w:adjustRightIn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工作年限</w:t>
            </w:r>
          </w:p>
        </w:tc>
        <w:tc>
          <w:tcPr>
            <w:tcW w:w="3149" w:type="dxa"/>
            <w:vAlign w:val="center"/>
          </w:tcPr>
          <w:p>
            <w:pPr>
              <w:autoSpaceDE w:val="0"/>
              <w:autoSpaceDN w:val="0"/>
              <w:adjustRightInd w:val="0"/>
              <w:spacing w:line="360" w:lineRule="auto"/>
              <w:jc w:val="center"/>
              <w:rPr>
                <w:rFonts w:asciiTheme="minorEastAsia" w:hAnsiTheme="minorEastAsia" w:eastAsiaTheme="minorEastAsia"/>
                <w:kern w:val="0"/>
                <w:szCs w:val="21"/>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trPr>
        <w:tc>
          <w:tcPr>
            <w:tcW w:w="2178"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经历</w:t>
            </w:r>
          </w:p>
          <w:p>
            <w:pPr>
              <w:spacing w:line="360" w:lineRule="auto"/>
              <w:jc w:val="center"/>
              <w:rPr>
                <w:rFonts w:asciiTheme="minorEastAsia" w:hAnsiTheme="minorEastAsia" w:eastAsiaTheme="minorEastAsia"/>
                <w:szCs w:val="21"/>
              </w:rPr>
            </w:pP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（何时在哪些项目中</w:t>
            </w:r>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任何职务）</w:t>
            </w:r>
          </w:p>
          <w:p>
            <w:pPr>
              <w:spacing w:line="360" w:lineRule="auto"/>
              <w:jc w:val="center"/>
              <w:rPr>
                <w:rFonts w:asciiTheme="minorEastAsia" w:hAnsiTheme="minorEastAsia" w:eastAsiaTheme="minorEastAsia"/>
                <w:szCs w:val="21"/>
              </w:rPr>
            </w:pPr>
          </w:p>
        </w:tc>
        <w:tc>
          <w:tcPr>
            <w:tcW w:w="7319" w:type="dxa"/>
            <w:gridSpan w:val="3"/>
            <w:vAlign w:val="center"/>
          </w:tcPr>
          <w:p>
            <w:pPr>
              <w:spacing w:line="360" w:lineRule="auto"/>
              <w:rPr>
                <w:rFonts w:cs="宋体" w:asciiTheme="minorEastAsia" w:hAnsiTheme="minorEastAsia" w:eastAsiaTheme="minorEastAsia"/>
                <w:szCs w:val="21"/>
              </w:rPr>
            </w:pPr>
          </w:p>
        </w:tc>
      </w:tr>
    </w:tbl>
    <w:p>
      <w:pPr>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本表后应附个人资质证书、业绩等证明材料的复印件。</w:t>
      </w:r>
    </w:p>
    <w:p>
      <w:pPr>
        <w:widowControl/>
        <w:spacing w:line="360" w:lineRule="auto"/>
        <w:jc w:val="left"/>
        <w:rPr>
          <w:rFonts w:asciiTheme="minorEastAsia" w:hAnsiTheme="minorEastAsia" w:eastAsiaTheme="minorEastAsia"/>
          <w:kern w:val="0"/>
          <w:szCs w:val="21"/>
        </w:rPr>
      </w:pPr>
      <w:r>
        <w:rPr>
          <w:rFonts w:asciiTheme="minorEastAsia" w:hAnsiTheme="minorEastAsia" w:eastAsiaTheme="minorEastAsia"/>
          <w:kern w:val="0"/>
          <w:szCs w:val="21"/>
        </w:rPr>
        <w:br w:type="page"/>
      </w:r>
      <w:r>
        <w:rPr>
          <w:rFonts w:hint="eastAsia" w:asciiTheme="minorEastAsia" w:hAnsiTheme="minorEastAsia" w:eastAsiaTheme="minorEastAsia"/>
          <w:kern w:val="0"/>
          <w:szCs w:val="21"/>
        </w:rPr>
        <w:t>表</w:t>
      </w:r>
      <w:r>
        <w:rPr>
          <w:rFonts w:asciiTheme="minorEastAsia" w:hAnsiTheme="minorEastAsia" w:eastAsiaTheme="minorEastAsia"/>
          <w:kern w:val="0"/>
          <w:szCs w:val="21"/>
        </w:rPr>
        <w:t>3</w:t>
      </w:r>
      <w:r>
        <w:rPr>
          <w:rFonts w:hint="eastAsia" w:asciiTheme="minorEastAsia" w:hAnsiTheme="minorEastAsia" w:eastAsiaTheme="minorEastAsia"/>
          <w:kern w:val="0"/>
          <w:szCs w:val="21"/>
        </w:rPr>
        <w:t>、</w:t>
      </w:r>
      <w:r>
        <w:rPr>
          <w:rFonts w:asciiTheme="minorEastAsia" w:hAnsiTheme="minorEastAsia" w:eastAsiaTheme="minorEastAsia"/>
          <w:kern w:val="0"/>
          <w:szCs w:val="21"/>
        </w:rPr>
        <w:t>20</w:t>
      </w:r>
      <w:r>
        <w:rPr>
          <w:rFonts w:hint="eastAsia" w:asciiTheme="minorEastAsia" w:hAnsiTheme="minorEastAsia" w:eastAsiaTheme="minorEastAsia"/>
          <w:kern w:val="0"/>
          <w:szCs w:val="21"/>
        </w:rPr>
        <w:t>17年以来承担的招标代理项目一览表</w:t>
      </w:r>
    </w:p>
    <w:tbl>
      <w:tblPr>
        <w:tblStyle w:val="41"/>
        <w:tblW w:w="96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1380"/>
        <w:gridCol w:w="1731"/>
        <w:gridCol w:w="1464"/>
        <w:gridCol w:w="1799"/>
        <w:gridCol w:w="1362"/>
        <w:gridCol w:w="1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trPr>
        <w:tc>
          <w:tcPr>
            <w:tcW w:w="791" w:type="dxa"/>
            <w:vAlign w:val="center"/>
          </w:tcPr>
          <w:p>
            <w:pPr>
              <w:autoSpaceDE w:val="0"/>
              <w:autoSpaceDN w:val="0"/>
              <w:adjustRightIn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序号</w:t>
            </w:r>
          </w:p>
        </w:tc>
        <w:tc>
          <w:tcPr>
            <w:tcW w:w="1380" w:type="dxa"/>
            <w:vAlign w:val="center"/>
          </w:tcPr>
          <w:p>
            <w:pPr>
              <w:autoSpaceDE w:val="0"/>
              <w:autoSpaceDN w:val="0"/>
              <w:adjustRightIn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项目名称</w:t>
            </w:r>
          </w:p>
        </w:tc>
        <w:tc>
          <w:tcPr>
            <w:tcW w:w="1731" w:type="dxa"/>
            <w:vAlign w:val="center"/>
          </w:tcPr>
          <w:p>
            <w:pPr>
              <w:autoSpaceDE w:val="0"/>
              <w:autoSpaceDN w:val="0"/>
              <w:adjustRightIn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建设单位</w:t>
            </w:r>
          </w:p>
          <w:p>
            <w:pPr>
              <w:autoSpaceDE w:val="0"/>
              <w:autoSpaceDN w:val="0"/>
              <w:adjustRightIn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（委托单位）</w:t>
            </w:r>
          </w:p>
        </w:tc>
        <w:tc>
          <w:tcPr>
            <w:tcW w:w="1464" w:type="dxa"/>
            <w:vAlign w:val="center"/>
          </w:tcPr>
          <w:p>
            <w:pPr>
              <w:autoSpaceDE w:val="0"/>
              <w:autoSpaceDN w:val="0"/>
              <w:adjustRightIn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规模</w:t>
            </w:r>
          </w:p>
          <w:p>
            <w:pPr>
              <w:autoSpaceDE w:val="0"/>
              <w:autoSpaceDN w:val="0"/>
              <w:adjustRightIn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（人民币万元）</w:t>
            </w:r>
          </w:p>
        </w:tc>
        <w:tc>
          <w:tcPr>
            <w:tcW w:w="1799" w:type="dxa"/>
            <w:vAlign w:val="center"/>
          </w:tcPr>
          <w:p>
            <w:pPr>
              <w:autoSpaceDE w:val="0"/>
              <w:autoSpaceDN w:val="0"/>
              <w:adjustRightIn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建设单位联系人及联系方式</w:t>
            </w:r>
          </w:p>
        </w:tc>
        <w:tc>
          <w:tcPr>
            <w:tcW w:w="1362" w:type="dxa"/>
            <w:vAlign w:val="center"/>
          </w:tcPr>
          <w:p>
            <w:pPr>
              <w:autoSpaceDE w:val="0"/>
              <w:autoSpaceDN w:val="0"/>
              <w:adjustRightIn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实施时间</w:t>
            </w:r>
          </w:p>
        </w:tc>
        <w:tc>
          <w:tcPr>
            <w:tcW w:w="1079" w:type="dxa"/>
            <w:vAlign w:val="center"/>
          </w:tcPr>
          <w:p>
            <w:pPr>
              <w:autoSpaceDE w:val="0"/>
              <w:autoSpaceDN w:val="0"/>
              <w:adjustRightIn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项目</w:t>
            </w:r>
          </w:p>
          <w:p>
            <w:pPr>
              <w:autoSpaceDE w:val="0"/>
              <w:autoSpaceDN w:val="0"/>
              <w:adjustRightInd w:val="0"/>
              <w:spacing w:line="360" w:lineRule="auto"/>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791" w:type="dxa"/>
          </w:tcPr>
          <w:p>
            <w:pPr>
              <w:autoSpaceDE w:val="0"/>
              <w:autoSpaceDN w:val="0"/>
              <w:adjustRightInd w:val="0"/>
              <w:spacing w:line="360" w:lineRule="auto"/>
              <w:jc w:val="left"/>
              <w:rPr>
                <w:rFonts w:asciiTheme="minorEastAsia" w:hAnsiTheme="minorEastAsia" w:eastAsiaTheme="minorEastAsia"/>
                <w:kern w:val="0"/>
                <w:szCs w:val="21"/>
              </w:rPr>
            </w:pPr>
            <w:r>
              <w:rPr>
                <w:rFonts w:asciiTheme="minorEastAsia" w:hAnsiTheme="minorEastAsia" w:eastAsiaTheme="minorEastAsia"/>
                <w:kern w:val="0"/>
                <w:szCs w:val="21"/>
              </w:rPr>
              <w:t>1</w:t>
            </w:r>
          </w:p>
        </w:tc>
        <w:tc>
          <w:tcPr>
            <w:tcW w:w="1380" w:type="dxa"/>
            <w:vAlign w:val="center"/>
          </w:tcPr>
          <w:p>
            <w:pPr>
              <w:autoSpaceDE w:val="0"/>
              <w:autoSpaceDN w:val="0"/>
              <w:adjustRightInd w:val="0"/>
              <w:spacing w:line="360" w:lineRule="auto"/>
              <w:jc w:val="center"/>
              <w:rPr>
                <w:rFonts w:asciiTheme="minorEastAsia" w:hAnsiTheme="minorEastAsia" w:eastAsiaTheme="minorEastAsia"/>
                <w:szCs w:val="21"/>
              </w:rPr>
            </w:pPr>
          </w:p>
        </w:tc>
        <w:tc>
          <w:tcPr>
            <w:tcW w:w="1731" w:type="dxa"/>
            <w:vAlign w:val="center"/>
          </w:tcPr>
          <w:p>
            <w:pPr>
              <w:autoSpaceDE w:val="0"/>
              <w:autoSpaceDN w:val="0"/>
              <w:adjustRightInd w:val="0"/>
              <w:spacing w:line="360" w:lineRule="auto"/>
              <w:jc w:val="center"/>
              <w:rPr>
                <w:rFonts w:asciiTheme="minorEastAsia" w:hAnsiTheme="minorEastAsia" w:eastAsiaTheme="minorEastAsia"/>
                <w:szCs w:val="21"/>
              </w:rPr>
            </w:pPr>
          </w:p>
        </w:tc>
        <w:tc>
          <w:tcPr>
            <w:tcW w:w="1464" w:type="dxa"/>
            <w:vAlign w:val="center"/>
          </w:tcPr>
          <w:p>
            <w:pPr>
              <w:autoSpaceDE w:val="0"/>
              <w:autoSpaceDN w:val="0"/>
              <w:adjustRightInd w:val="0"/>
              <w:spacing w:line="360" w:lineRule="auto"/>
              <w:jc w:val="center"/>
              <w:rPr>
                <w:rFonts w:asciiTheme="minorEastAsia" w:hAnsiTheme="minorEastAsia" w:eastAsiaTheme="minorEastAsia"/>
                <w:szCs w:val="21"/>
              </w:rPr>
            </w:pPr>
          </w:p>
        </w:tc>
        <w:tc>
          <w:tcPr>
            <w:tcW w:w="1799" w:type="dxa"/>
            <w:vAlign w:val="center"/>
          </w:tcPr>
          <w:p>
            <w:pPr>
              <w:autoSpaceDE w:val="0"/>
              <w:autoSpaceDN w:val="0"/>
              <w:adjustRightInd w:val="0"/>
              <w:spacing w:line="360" w:lineRule="auto"/>
              <w:jc w:val="center"/>
              <w:rPr>
                <w:rFonts w:asciiTheme="minorEastAsia" w:hAnsiTheme="minorEastAsia" w:eastAsiaTheme="minorEastAsia"/>
                <w:szCs w:val="21"/>
              </w:rPr>
            </w:pPr>
          </w:p>
        </w:tc>
        <w:tc>
          <w:tcPr>
            <w:tcW w:w="1362" w:type="dxa"/>
            <w:vAlign w:val="center"/>
          </w:tcPr>
          <w:p>
            <w:pPr>
              <w:autoSpaceDE w:val="0"/>
              <w:autoSpaceDN w:val="0"/>
              <w:adjustRightInd w:val="0"/>
              <w:spacing w:line="360" w:lineRule="auto"/>
              <w:jc w:val="center"/>
              <w:rPr>
                <w:rFonts w:asciiTheme="minorEastAsia" w:hAnsiTheme="minorEastAsia" w:eastAsiaTheme="minorEastAsia"/>
                <w:szCs w:val="21"/>
              </w:rPr>
            </w:pPr>
          </w:p>
        </w:tc>
        <w:tc>
          <w:tcPr>
            <w:tcW w:w="1079" w:type="dxa"/>
            <w:vAlign w:val="center"/>
          </w:tcPr>
          <w:p>
            <w:pPr>
              <w:autoSpaceDE w:val="0"/>
              <w:autoSpaceDN w:val="0"/>
              <w:adjustRightInd w:val="0"/>
              <w:spacing w:line="360" w:lineRule="auto"/>
              <w:jc w:val="center"/>
              <w:rPr>
                <w:rFonts w:asciiTheme="minorEastAsia" w:hAnsiTheme="minorEastAsia" w:eastAsiaTheme="minorEastAsi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791" w:type="dxa"/>
          </w:tcPr>
          <w:p>
            <w:pPr>
              <w:autoSpaceDE w:val="0"/>
              <w:autoSpaceDN w:val="0"/>
              <w:adjustRightInd w:val="0"/>
              <w:spacing w:line="360" w:lineRule="auto"/>
              <w:jc w:val="left"/>
              <w:rPr>
                <w:rFonts w:asciiTheme="minorEastAsia" w:hAnsiTheme="minorEastAsia" w:eastAsiaTheme="minorEastAsia"/>
                <w:kern w:val="0"/>
                <w:szCs w:val="21"/>
              </w:rPr>
            </w:pPr>
            <w:r>
              <w:rPr>
                <w:rFonts w:asciiTheme="minorEastAsia" w:hAnsiTheme="minorEastAsia" w:eastAsiaTheme="minorEastAsia"/>
                <w:kern w:val="0"/>
                <w:szCs w:val="21"/>
              </w:rPr>
              <w:t>2</w:t>
            </w:r>
          </w:p>
        </w:tc>
        <w:tc>
          <w:tcPr>
            <w:tcW w:w="1380" w:type="dxa"/>
            <w:vAlign w:val="center"/>
          </w:tcPr>
          <w:p>
            <w:pPr>
              <w:autoSpaceDE w:val="0"/>
              <w:autoSpaceDN w:val="0"/>
              <w:adjustRightInd w:val="0"/>
              <w:spacing w:line="360" w:lineRule="auto"/>
              <w:jc w:val="center"/>
              <w:rPr>
                <w:rFonts w:asciiTheme="minorEastAsia" w:hAnsiTheme="minorEastAsia" w:eastAsiaTheme="minorEastAsia"/>
                <w:szCs w:val="21"/>
              </w:rPr>
            </w:pPr>
          </w:p>
        </w:tc>
        <w:tc>
          <w:tcPr>
            <w:tcW w:w="1731" w:type="dxa"/>
            <w:vAlign w:val="center"/>
          </w:tcPr>
          <w:p>
            <w:pPr>
              <w:autoSpaceDE w:val="0"/>
              <w:autoSpaceDN w:val="0"/>
              <w:adjustRightInd w:val="0"/>
              <w:spacing w:line="360" w:lineRule="auto"/>
              <w:jc w:val="center"/>
              <w:rPr>
                <w:rFonts w:asciiTheme="minorEastAsia" w:hAnsiTheme="minorEastAsia" w:eastAsiaTheme="minorEastAsia"/>
                <w:szCs w:val="21"/>
              </w:rPr>
            </w:pPr>
          </w:p>
        </w:tc>
        <w:tc>
          <w:tcPr>
            <w:tcW w:w="1464" w:type="dxa"/>
            <w:vAlign w:val="center"/>
          </w:tcPr>
          <w:p>
            <w:pPr>
              <w:autoSpaceDE w:val="0"/>
              <w:autoSpaceDN w:val="0"/>
              <w:adjustRightInd w:val="0"/>
              <w:spacing w:line="360" w:lineRule="auto"/>
              <w:jc w:val="center"/>
              <w:rPr>
                <w:rFonts w:asciiTheme="minorEastAsia" w:hAnsiTheme="minorEastAsia" w:eastAsiaTheme="minorEastAsia"/>
                <w:kern w:val="0"/>
                <w:szCs w:val="21"/>
              </w:rPr>
            </w:pPr>
          </w:p>
        </w:tc>
        <w:tc>
          <w:tcPr>
            <w:tcW w:w="1799" w:type="dxa"/>
            <w:vAlign w:val="center"/>
          </w:tcPr>
          <w:p>
            <w:pPr>
              <w:autoSpaceDE w:val="0"/>
              <w:autoSpaceDN w:val="0"/>
              <w:adjustRightInd w:val="0"/>
              <w:spacing w:line="360" w:lineRule="auto"/>
              <w:jc w:val="center"/>
              <w:rPr>
                <w:rFonts w:asciiTheme="minorEastAsia" w:hAnsiTheme="minorEastAsia" w:eastAsiaTheme="minorEastAsia"/>
                <w:kern w:val="0"/>
                <w:szCs w:val="21"/>
              </w:rPr>
            </w:pPr>
          </w:p>
        </w:tc>
        <w:tc>
          <w:tcPr>
            <w:tcW w:w="1362" w:type="dxa"/>
            <w:vAlign w:val="center"/>
          </w:tcPr>
          <w:p>
            <w:pPr>
              <w:autoSpaceDE w:val="0"/>
              <w:autoSpaceDN w:val="0"/>
              <w:adjustRightInd w:val="0"/>
              <w:spacing w:line="360" w:lineRule="auto"/>
              <w:jc w:val="center"/>
              <w:rPr>
                <w:rFonts w:asciiTheme="minorEastAsia" w:hAnsiTheme="minorEastAsia" w:eastAsiaTheme="minorEastAsia"/>
                <w:kern w:val="0"/>
                <w:szCs w:val="21"/>
              </w:rPr>
            </w:pPr>
          </w:p>
        </w:tc>
        <w:tc>
          <w:tcPr>
            <w:tcW w:w="1079" w:type="dxa"/>
            <w:vAlign w:val="center"/>
          </w:tcPr>
          <w:p>
            <w:pPr>
              <w:autoSpaceDE w:val="0"/>
              <w:autoSpaceDN w:val="0"/>
              <w:adjustRightInd w:val="0"/>
              <w:spacing w:line="360" w:lineRule="auto"/>
              <w:jc w:val="center"/>
              <w:rPr>
                <w:rFonts w:asciiTheme="minorEastAsia" w:hAnsiTheme="minorEastAsia" w:eastAsiaTheme="minorEastAsi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791" w:type="dxa"/>
          </w:tcPr>
          <w:p>
            <w:pPr>
              <w:autoSpaceDE w:val="0"/>
              <w:autoSpaceDN w:val="0"/>
              <w:adjustRightInd w:val="0"/>
              <w:spacing w:line="360" w:lineRule="auto"/>
              <w:jc w:val="left"/>
              <w:rPr>
                <w:rFonts w:asciiTheme="minorEastAsia" w:hAnsiTheme="minorEastAsia" w:eastAsiaTheme="minorEastAsia"/>
                <w:kern w:val="0"/>
                <w:szCs w:val="21"/>
              </w:rPr>
            </w:pPr>
            <w:r>
              <w:rPr>
                <w:rFonts w:asciiTheme="minorEastAsia" w:hAnsiTheme="minorEastAsia" w:eastAsiaTheme="minorEastAsia"/>
                <w:kern w:val="0"/>
                <w:szCs w:val="21"/>
              </w:rPr>
              <w:t>3</w:t>
            </w:r>
          </w:p>
        </w:tc>
        <w:tc>
          <w:tcPr>
            <w:tcW w:w="1380" w:type="dxa"/>
            <w:vAlign w:val="center"/>
          </w:tcPr>
          <w:p>
            <w:pPr>
              <w:autoSpaceDE w:val="0"/>
              <w:autoSpaceDN w:val="0"/>
              <w:adjustRightInd w:val="0"/>
              <w:spacing w:line="360" w:lineRule="auto"/>
              <w:jc w:val="center"/>
              <w:rPr>
                <w:rFonts w:asciiTheme="minorEastAsia" w:hAnsiTheme="minorEastAsia" w:eastAsiaTheme="minorEastAsia"/>
                <w:szCs w:val="21"/>
              </w:rPr>
            </w:pPr>
          </w:p>
        </w:tc>
        <w:tc>
          <w:tcPr>
            <w:tcW w:w="1731" w:type="dxa"/>
            <w:vAlign w:val="center"/>
          </w:tcPr>
          <w:p>
            <w:pPr>
              <w:autoSpaceDE w:val="0"/>
              <w:autoSpaceDN w:val="0"/>
              <w:adjustRightInd w:val="0"/>
              <w:spacing w:line="360" w:lineRule="auto"/>
              <w:jc w:val="center"/>
              <w:rPr>
                <w:rFonts w:asciiTheme="minorEastAsia" w:hAnsiTheme="minorEastAsia" w:eastAsiaTheme="minorEastAsia"/>
                <w:szCs w:val="21"/>
              </w:rPr>
            </w:pPr>
          </w:p>
        </w:tc>
        <w:tc>
          <w:tcPr>
            <w:tcW w:w="1464" w:type="dxa"/>
            <w:vAlign w:val="center"/>
          </w:tcPr>
          <w:p>
            <w:pPr>
              <w:autoSpaceDE w:val="0"/>
              <w:autoSpaceDN w:val="0"/>
              <w:adjustRightInd w:val="0"/>
              <w:spacing w:line="360" w:lineRule="auto"/>
              <w:jc w:val="center"/>
              <w:rPr>
                <w:rFonts w:asciiTheme="minorEastAsia" w:hAnsiTheme="minorEastAsia" w:eastAsiaTheme="minorEastAsia"/>
                <w:kern w:val="0"/>
                <w:szCs w:val="21"/>
              </w:rPr>
            </w:pPr>
          </w:p>
        </w:tc>
        <w:tc>
          <w:tcPr>
            <w:tcW w:w="1799" w:type="dxa"/>
            <w:vAlign w:val="center"/>
          </w:tcPr>
          <w:p>
            <w:pPr>
              <w:autoSpaceDE w:val="0"/>
              <w:autoSpaceDN w:val="0"/>
              <w:adjustRightInd w:val="0"/>
              <w:spacing w:line="360" w:lineRule="auto"/>
              <w:jc w:val="center"/>
              <w:rPr>
                <w:rFonts w:asciiTheme="minorEastAsia" w:hAnsiTheme="minorEastAsia" w:eastAsiaTheme="minorEastAsia"/>
                <w:kern w:val="0"/>
                <w:szCs w:val="21"/>
              </w:rPr>
            </w:pPr>
          </w:p>
        </w:tc>
        <w:tc>
          <w:tcPr>
            <w:tcW w:w="1362" w:type="dxa"/>
            <w:vAlign w:val="center"/>
          </w:tcPr>
          <w:p>
            <w:pPr>
              <w:autoSpaceDE w:val="0"/>
              <w:autoSpaceDN w:val="0"/>
              <w:adjustRightInd w:val="0"/>
              <w:spacing w:line="360" w:lineRule="auto"/>
              <w:jc w:val="center"/>
              <w:rPr>
                <w:rFonts w:asciiTheme="minorEastAsia" w:hAnsiTheme="minorEastAsia" w:eastAsiaTheme="minorEastAsia"/>
                <w:kern w:val="0"/>
                <w:szCs w:val="21"/>
              </w:rPr>
            </w:pPr>
          </w:p>
        </w:tc>
        <w:tc>
          <w:tcPr>
            <w:tcW w:w="1079" w:type="dxa"/>
            <w:vAlign w:val="center"/>
          </w:tcPr>
          <w:p>
            <w:pPr>
              <w:autoSpaceDE w:val="0"/>
              <w:autoSpaceDN w:val="0"/>
              <w:adjustRightInd w:val="0"/>
              <w:spacing w:line="360" w:lineRule="auto"/>
              <w:jc w:val="center"/>
              <w:rPr>
                <w:rFonts w:asciiTheme="minorEastAsia" w:hAnsiTheme="minorEastAsia" w:eastAsiaTheme="minorEastAsi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791" w:type="dxa"/>
          </w:tcPr>
          <w:p>
            <w:pPr>
              <w:autoSpaceDE w:val="0"/>
              <w:autoSpaceDN w:val="0"/>
              <w:adjustRightIn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p>
        </w:tc>
        <w:tc>
          <w:tcPr>
            <w:tcW w:w="1380" w:type="dxa"/>
            <w:vAlign w:val="center"/>
          </w:tcPr>
          <w:p>
            <w:pPr>
              <w:autoSpaceDE w:val="0"/>
              <w:autoSpaceDN w:val="0"/>
              <w:adjustRightInd w:val="0"/>
              <w:spacing w:line="360" w:lineRule="auto"/>
              <w:jc w:val="center"/>
              <w:rPr>
                <w:rFonts w:asciiTheme="minorEastAsia" w:hAnsiTheme="minorEastAsia" w:eastAsiaTheme="minorEastAsia"/>
                <w:kern w:val="0"/>
                <w:szCs w:val="21"/>
              </w:rPr>
            </w:pPr>
          </w:p>
        </w:tc>
        <w:tc>
          <w:tcPr>
            <w:tcW w:w="1731" w:type="dxa"/>
            <w:vAlign w:val="center"/>
          </w:tcPr>
          <w:p>
            <w:pPr>
              <w:autoSpaceDE w:val="0"/>
              <w:autoSpaceDN w:val="0"/>
              <w:adjustRightInd w:val="0"/>
              <w:spacing w:line="360" w:lineRule="auto"/>
              <w:jc w:val="center"/>
              <w:rPr>
                <w:rFonts w:asciiTheme="minorEastAsia" w:hAnsiTheme="minorEastAsia" w:eastAsiaTheme="minorEastAsia"/>
                <w:kern w:val="0"/>
                <w:szCs w:val="21"/>
              </w:rPr>
            </w:pPr>
          </w:p>
        </w:tc>
        <w:tc>
          <w:tcPr>
            <w:tcW w:w="1464" w:type="dxa"/>
            <w:vAlign w:val="center"/>
          </w:tcPr>
          <w:p>
            <w:pPr>
              <w:autoSpaceDE w:val="0"/>
              <w:autoSpaceDN w:val="0"/>
              <w:adjustRightInd w:val="0"/>
              <w:spacing w:line="360" w:lineRule="auto"/>
              <w:jc w:val="center"/>
              <w:rPr>
                <w:rFonts w:asciiTheme="minorEastAsia" w:hAnsiTheme="minorEastAsia" w:eastAsiaTheme="minorEastAsia"/>
                <w:kern w:val="0"/>
                <w:szCs w:val="21"/>
              </w:rPr>
            </w:pPr>
          </w:p>
        </w:tc>
        <w:tc>
          <w:tcPr>
            <w:tcW w:w="1799" w:type="dxa"/>
            <w:vAlign w:val="center"/>
          </w:tcPr>
          <w:p>
            <w:pPr>
              <w:autoSpaceDE w:val="0"/>
              <w:autoSpaceDN w:val="0"/>
              <w:adjustRightInd w:val="0"/>
              <w:spacing w:line="360" w:lineRule="auto"/>
              <w:jc w:val="center"/>
              <w:rPr>
                <w:rFonts w:asciiTheme="minorEastAsia" w:hAnsiTheme="minorEastAsia" w:eastAsiaTheme="minorEastAsia"/>
                <w:kern w:val="0"/>
                <w:szCs w:val="21"/>
              </w:rPr>
            </w:pPr>
          </w:p>
        </w:tc>
        <w:tc>
          <w:tcPr>
            <w:tcW w:w="1362" w:type="dxa"/>
            <w:vAlign w:val="center"/>
          </w:tcPr>
          <w:p>
            <w:pPr>
              <w:autoSpaceDE w:val="0"/>
              <w:autoSpaceDN w:val="0"/>
              <w:adjustRightInd w:val="0"/>
              <w:spacing w:line="360" w:lineRule="auto"/>
              <w:jc w:val="center"/>
              <w:rPr>
                <w:rFonts w:asciiTheme="minorEastAsia" w:hAnsiTheme="minorEastAsia" w:eastAsiaTheme="minorEastAsia"/>
                <w:kern w:val="0"/>
                <w:szCs w:val="21"/>
              </w:rPr>
            </w:pPr>
          </w:p>
        </w:tc>
        <w:tc>
          <w:tcPr>
            <w:tcW w:w="1079" w:type="dxa"/>
            <w:vAlign w:val="center"/>
          </w:tcPr>
          <w:p>
            <w:pPr>
              <w:autoSpaceDE w:val="0"/>
              <w:autoSpaceDN w:val="0"/>
              <w:adjustRightInd w:val="0"/>
              <w:spacing w:line="360" w:lineRule="auto"/>
              <w:jc w:val="center"/>
              <w:rPr>
                <w:rFonts w:asciiTheme="minorEastAsia" w:hAnsiTheme="minorEastAsia" w:eastAsiaTheme="minorEastAsia"/>
                <w:kern w:val="0"/>
                <w:szCs w:val="21"/>
              </w:rPr>
            </w:pPr>
          </w:p>
        </w:tc>
      </w:tr>
    </w:tbl>
    <w:p>
      <w:pPr>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本表后应附代理合同。</w:t>
      </w:r>
    </w:p>
    <w:p>
      <w:pPr>
        <w:widowControl/>
        <w:spacing w:line="360" w:lineRule="auto"/>
        <w:jc w:val="left"/>
        <w:rPr>
          <w:rFonts w:asciiTheme="minorEastAsia" w:hAnsiTheme="minorEastAsia" w:eastAsiaTheme="minorEastAsia"/>
          <w:kern w:val="0"/>
          <w:szCs w:val="21"/>
        </w:rPr>
      </w:pPr>
    </w:p>
    <w:p>
      <w:pPr>
        <w:widowControl/>
        <w:spacing w:line="360" w:lineRule="auto"/>
        <w:jc w:val="left"/>
        <w:rPr>
          <w:rFonts w:asciiTheme="minorEastAsia" w:hAnsiTheme="minorEastAsia" w:eastAsiaTheme="minorEastAsia"/>
          <w:kern w:val="0"/>
          <w:szCs w:val="21"/>
        </w:rPr>
      </w:pPr>
    </w:p>
    <w:p>
      <w:pPr>
        <w:widowControl/>
        <w:spacing w:line="360" w:lineRule="auto"/>
        <w:jc w:val="left"/>
        <w:outlineLvl w:val="0"/>
        <w:rPr>
          <w:rFonts w:asciiTheme="minorEastAsia" w:hAnsiTheme="minorEastAsia" w:eastAsiaTheme="minorEastAsia"/>
          <w:kern w:val="0"/>
          <w:szCs w:val="21"/>
        </w:rPr>
      </w:pPr>
      <w:bookmarkStart w:id="87" w:name="_Toc46325214"/>
      <w:r>
        <w:rPr>
          <w:rFonts w:hint="eastAsia" w:asciiTheme="minorEastAsia" w:hAnsiTheme="minorEastAsia" w:eastAsiaTheme="minorEastAsia"/>
          <w:kern w:val="0"/>
          <w:szCs w:val="21"/>
        </w:rPr>
        <w:t>四、承诺函（格式自拟）</w:t>
      </w:r>
      <w:bookmarkEnd w:id="87"/>
    </w:p>
    <w:p>
      <w:pPr>
        <w:widowControl/>
        <w:spacing w:line="360" w:lineRule="auto"/>
        <w:jc w:val="left"/>
        <w:outlineLvl w:val="0"/>
        <w:rPr>
          <w:rFonts w:asciiTheme="minorEastAsia" w:hAnsiTheme="minorEastAsia" w:eastAsiaTheme="minorEastAsia"/>
          <w:kern w:val="0"/>
          <w:szCs w:val="21"/>
        </w:rPr>
      </w:pPr>
      <w:bookmarkStart w:id="88" w:name="_Toc46325215"/>
      <w:r>
        <w:rPr>
          <w:rFonts w:hint="eastAsia" w:asciiTheme="minorEastAsia" w:hAnsiTheme="minorEastAsia" w:eastAsiaTheme="minorEastAsia"/>
          <w:kern w:val="0"/>
          <w:szCs w:val="21"/>
        </w:rPr>
        <w:t>五、招标代理服务实施方案</w:t>
      </w:r>
      <w:bookmarkEnd w:id="88"/>
    </w:p>
    <w:p>
      <w:pPr>
        <w:spacing w:line="360" w:lineRule="auto"/>
        <w:rPr>
          <w:rFonts w:asciiTheme="minorEastAsia" w:hAnsiTheme="minorEastAsia" w:eastAsiaTheme="minorEastAsia"/>
          <w:szCs w:val="21"/>
        </w:rPr>
      </w:pPr>
    </w:p>
    <w:sectPr>
      <w:headerReference r:id="rId7" w:type="first"/>
      <w:footerReference r:id="rId9" w:type="first"/>
      <w:headerReference r:id="rId6" w:type="even"/>
      <w:footerReference r:id="rId8" w:type="even"/>
      <w:footnotePr>
        <w:numFmt w:val="decimalEnclosedCircleChinese"/>
        <w:numRestart w:val="eachPage"/>
      </w:footnote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Fake Font">
    <w:altName w:val="宋体"/>
    <w:panose1 w:val="00000000000000000000"/>
    <w:charset w:val="86"/>
    <w:family w:val="auto"/>
    <w:pitch w:val="default"/>
    <w:sig w:usb0="00000000" w:usb1="00000000" w:usb2="00000010" w:usb3="00000000" w:csb0="00040000" w:csb1="00000000"/>
  </w:font>
  <w:font w:name="Microsoft JhengHei">
    <w:panose1 w:val="020B0604030504040204"/>
    <w:charset w:val="88"/>
    <w:family w:val="swiss"/>
    <w:pitch w:val="default"/>
    <w:sig w:usb0="00000087" w:usb1="28AF4000" w:usb2="00000016" w:usb3="00000000" w:csb0="00100009"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4"/>
      </w:rPr>
    </w:pPr>
    <w:r>
      <w:rPr>
        <w:rStyle w:val="44"/>
      </w:rPr>
      <w:fldChar w:fldCharType="begin"/>
    </w:r>
    <w:r>
      <w:rPr>
        <w:rStyle w:val="44"/>
      </w:rPr>
      <w:instrText xml:space="preserve">PAGE  </w:instrText>
    </w:r>
    <w:r>
      <w:rPr>
        <w:rStyle w:val="44"/>
      </w:rPr>
      <w:fldChar w:fldCharType="separate"/>
    </w:r>
    <w:r>
      <w:rPr>
        <w:rStyle w:val="44"/>
      </w:rPr>
      <w:t>11</w:t>
    </w:r>
    <w:r>
      <w:rPr>
        <w:rStyle w:val="44"/>
      </w:rP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4"/>
      </w:rPr>
    </w:pPr>
    <w:r>
      <w:rPr>
        <w:rStyle w:val="44"/>
      </w:rPr>
      <w:fldChar w:fldCharType="begin"/>
    </w:r>
    <w:r>
      <w:rPr>
        <w:rStyle w:val="44"/>
      </w:rPr>
      <w:instrText xml:space="preserve">PAGE  </w:instrText>
    </w:r>
    <w:r>
      <w:rPr>
        <w:rStyle w:val="44"/>
      </w:rPr>
      <w:fldChar w:fldCharType="end"/>
    </w: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19</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21432"/>
    <w:rsid w:val="00033869"/>
    <w:rsid w:val="00072302"/>
    <w:rsid w:val="00072986"/>
    <w:rsid w:val="000F0377"/>
    <w:rsid w:val="00151571"/>
    <w:rsid w:val="00216C27"/>
    <w:rsid w:val="002236C5"/>
    <w:rsid w:val="002558DA"/>
    <w:rsid w:val="002562E4"/>
    <w:rsid w:val="00272381"/>
    <w:rsid w:val="002906CE"/>
    <w:rsid w:val="00291D35"/>
    <w:rsid w:val="002955F3"/>
    <w:rsid w:val="00297B70"/>
    <w:rsid w:val="002A5438"/>
    <w:rsid w:val="0036371D"/>
    <w:rsid w:val="00377073"/>
    <w:rsid w:val="0040008C"/>
    <w:rsid w:val="004115EB"/>
    <w:rsid w:val="00454F39"/>
    <w:rsid w:val="00456F9B"/>
    <w:rsid w:val="00480CFF"/>
    <w:rsid w:val="005615C8"/>
    <w:rsid w:val="00577D41"/>
    <w:rsid w:val="00594016"/>
    <w:rsid w:val="0064262F"/>
    <w:rsid w:val="00653EF6"/>
    <w:rsid w:val="006B26BD"/>
    <w:rsid w:val="007623F2"/>
    <w:rsid w:val="00765759"/>
    <w:rsid w:val="007A14EB"/>
    <w:rsid w:val="007B54BF"/>
    <w:rsid w:val="007E782C"/>
    <w:rsid w:val="00837D51"/>
    <w:rsid w:val="00855CFA"/>
    <w:rsid w:val="00867562"/>
    <w:rsid w:val="008A0D52"/>
    <w:rsid w:val="00921432"/>
    <w:rsid w:val="00922477"/>
    <w:rsid w:val="00951A6A"/>
    <w:rsid w:val="009A1B22"/>
    <w:rsid w:val="009F1AE4"/>
    <w:rsid w:val="00A1099C"/>
    <w:rsid w:val="00AE629A"/>
    <w:rsid w:val="00AF48D6"/>
    <w:rsid w:val="00B1495E"/>
    <w:rsid w:val="00B24F6C"/>
    <w:rsid w:val="00B36552"/>
    <w:rsid w:val="00B51F70"/>
    <w:rsid w:val="00B84058"/>
    <w:rsid w:val="00BE3076"/>
    <w:rsid w:val="00BE5BB1"/>
    <w:rsid w:val="00BF0A1F"/>
    <w:rsid w:val="00C36DD4"/>
    <w:rsid w:val="00C97971"/>
    <w:rsid w:val="00CB7A35"/>
    <w:rsid w:val="00CE6D53"/>
    <w:rsid w:val="00D251EC"/>
    <w:rsid w:val="00D3786D"/>
    <w:rsid w:val="00DA0097"/>
    <w:rsid w:val="00DB131A"/>
    <w:rsid w:val="00DF29F2"/>
    <w:rsid w:val="00E07BAF"/>
    <w:rsid w:val="00E36896"/>
    <w:rsid w:val="00EE62E2"/>
    <w:rsid w:val="00F4196E"/>
    <w:rsid w:val="00F67E1C"/>
    <w:rsid w:val="00FA235E"/>
    <w:rsid w:val="00FA4717"/>
    <w:rsid w:val="00FF1AD3"/>
    <w:rsid w:val="4573122D"/>
    <w:rsid w:val="4FDB761C"/>
    <w:rsid w:val="5F1A0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99"/>
    <w:pPr>
      <w:outlineLvl w:val="0"/>
    </w:pPr>
  </w:style>
  <w:style w:type="paragraph" w:styleId="3">
    <w:name w:val="heading 2"/>
    <w:basedOn w:val="1"/>
    <w:next w:val="1"/>
    <w:link w:val="52"/>
    <w:qFormat/>
    <w:uiPriority w:val="99"/>
    <w:pPr>
      <w:keepNext/>
      <w:keepLines/>
      <w:tabs>
        <w:tab w:val="left" w:pos="360"/>
      </w:tabs>
      <w:spacing w:before="260" w:after="260" w:line="416" w:lineRule="auto"/>
      <w:outlineLvl w:val="1"/>
    </w:pPr>
    <w:rPr>
      <w:rFonts w:ascii="Arial" w:hAnsi="Arial" w:eastAsia="黑体"/>
      <w:b/>
      <w:bCs/>
      <w:sz w:val="32"/>
      <w:szCs w:val="32"/>
    </w:rPr>
  </w:style>
  <w:style w:type="paragraph" w:styleId="4">
    <w:name w:val="heading 3"/>
    <w:basedOn w:val="1"/>
    <w:next w:val="1"/>
    <w:link w:val="60"/>
    <w:qFormat/>
    <w:uiPriority w:val="99"/>
    <w:pPr>
      <w:keepNext/>
      <w:keepLines/>
      <w:spacing w:before="260" w:after="260" w:line="413" w:lineRule="auto"/>
      <w:outlineLvl w:val="2"/>
    </w:pPr>
    <w:rPr>
      <w:b/>
      <w:bCs/>
      <w:sz w:val="32"/>
      <w:szCs w:val="32"/>
    </w:rPr>
  </w:style>
  <w:style w:type="paragraph" w:styleId="5">
    <w:name w:val="heading 4"/>
    <w:basedOn w:val="1"/>
    <w:next w:val="1"/>
    <w:link w:val="54"/>
    <w:qFormat/>
    <w:uiPriority w:val="99"/>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55"/>
    <w:qFormat/>
    <w:uiPriority w:val="99"/>
    <w:pPr>
      <w:keepNext/>
      <w:keepLines/>
      <w:tabs>
        <w:tab w:val="left" w:pos="1008"/>
      </w:tabs>
      <w:spacing w:before="280" w:after="290" w:line="376" w:lineRule="auto"/>
      <w:ind w:left="1008" w:hanging="432"/>
      <w:outlineLvl w:val="4"/>
    </w:pPr>
    <w:rPr>
      <w:b/>
      <w:bCs/>
      <w:sz w:val="28"/>
      <w:szCs w:val="28"/>
    </w:rPr>
  </w:style>
  <w:style w:type="paragraph" w:styleId="7">
    <w:name w:val="heading 6"/>
    <w:basedOn w:val="1"/>
    <w:next w:val="1"/>
    <w:link w:val="56"/>
    <w:qFormat/>
    <w:uiPriority w:val="99"/>
    <w:pPr>
      <w:keepNext/>
      <w:keepLines/>
      <w:tabs>
        <w:tab w:val="left" w:pos="1152"/>
      </w:tabs>
      <w:spacing w:before="240" w:after="64" w:line="320" w:lineRule="auto"/>
      <w:ind w:left="1152" w:hanging="432"/>
      <w:outlineLvl w:val="5"/>
    </w:pPr>
    <w:rPr>
      <w:rFonts w:ascii="Arial" w:hAnsi="Arial" w:eastAsia="黑体"/>
      <w:b/>
      <w:bCs/>
      <w:sz w:val="24"/>
    </w:rPr>
  </w:style>
  <w:style w:type="paragraph" w:styleId="8">
    <w:name w:val="heading 7"/>
    <w:basedOn w:val="1"/>
    <w:next w:val="1"/>
    <w:link w:val="57"/>
    <w:qFormat/>
    <w:uiPriority w:val="99"/>
    <w:pPr>
      <w:keepNext/>
      <w:keepLines/>
      <w:tabs>
        <w:tab w:val="left" w:pos="1296"/>
      </w:tabs>
      <w:spacing w:before="240" w:after="64" w:line="320" w:lineRule="auto"/>
      <w:ind w:left="1296" w:hanging="288"/>
      <w:outlineLvl w:val="6"/>
    </w:pPr>
    <w:rPr>
      <w:b/>
      <w:bCs/>
      <w:sz w:val="24"/>
    </w:rPr>
  </w:style>
  <w:style w:type="paragraph" w:styleId="9">
    <w:name w:val="heading 8"/>
    <w:basedOn w:val="1"/>
    <w:next w:val="1"/>
    <w:link w:val="58"/>
    <w:qFormat/>
    <w:uiPriority w:val="99"/>
    <w:pPr>
      <w:keepNext/>
      <w:keepLines/>
      <w:tabs>
        <w:tab w:val="left" w:pos="1440"/>
      </w:tabs>
      <w:spacing w:before="240" w:after="64" w:line="320" w:lineRule="auto"/>
      <w:ind w:left="1440" w:hanging="432"/>
      <w:outlineLvl w:val="7"/>
    </w:pPr>
    <w:rPr>
      <w:rFonts w:ascii="Arial" w:hAnsi="Arial" w:eastAsia="黑体"/>
      <w:sz w:val="24"/>
    </w:rPr>
  </w:style>
  <w:style w:type="paragraph" w:styleId="10">
    <w:name w:val="heading 9"/>
    <w:basedOn w:val="1"/>
    <w:next w:val="1"/>
    <w:link w:val="59"/>
    <w:qFormat/>
    <w:uiPriority w:val="99"/>
    <w:pPr>
      <w:keepNext/>
      <w:keepLines/>
      <w:tabs>
        <w:tab w:val="left" w:pos="1584"/>
      </w:tabs>
      <w:spacing w:before="240" w:after="64" w:line="320" w:lineRule="auto"/>
      <w:ind w:left="1584" w:hanging="144"/>
      <w:outlineLvl w:val="8"/>
    </w:pPr>
    <w:rPr>
      <w:rFonts w:ascii="Arial" w:hAnsi="Arial" w:eastAsia="黑体"/>
      <w:szCs w:val="21"/>
    </w:rPr>
  </w:style>
  <w:style w:type="character" w:default="1" w:styleId="42">
    <w:name w:val="Default Paragraph Font"/>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adjustRightInd w:val="0"/>
      <w:ind w:left="1440" w:firstLine="198"/>
      <w:jc w:val="left"/>
      <w:textAlignment w:val="baseline"/>
    </w:pPr>
    <w:rPr>
      <w:sz w:val="18"/>
      <w:szCs w:val="20"/>
    </w:rPr>
  </w:style>
  <w:style w:type="paragraph" w:styleId="12">
    <w:name w:val="Normal Indent"/>
    <w:basedOn w:val="1"/>
    <w:qFormat/>
    <w:uiPriority w:val="99"/>
    <w:pPr>
      <w:adjustRightInd w:val="0"/>
      <w:spacing w:line="360" w:lineRule="atLeast"/>
      <w:ind w:firstLine="482"/>
      <w:textAlignment w:val="baseline"/>
    </w:pPr>
    <w:rPr>
      <w:kern w:val="0"/>
      <w:sz w:val="24"/>
      <w:szCs w:val="20"/>
    </w:rPr>
  </w:style>
  <w:style w:type="paragraph" w:styleId="13">
    <w:name w:val="caption"/>
    <w:basedOn w:val="1"/>
    <w:next w:val="1"/>
    <w:qFormat/>
    <w:uiPriority w:val="99"/>
    <w:pPr>
      <w:spacing w:before="152" w:after="160"/>
    </w:pPr>
    <w:rPr>
      <w:rFonts w:ascii="Arial" w:hAnsi="Arial" w:eastAsia="华文细黑" w:cs="Arial"/>
      <w:sz w:val="24"/>
      <w:szCs w:val="20"/>
    </w:rPr>
  </w:style>
  <w:style w:type="paragraph" w:styleId="14">
    <w:name w:val="Document Map"/>
    <w:basedOn w:val="1"/>
    <w:link w:val="85"/>
    <w:semiHidden/>
    <w:qFormat/>
    <w:uiPriority w:val="99"/>
    <w:pPr>
      <w:shd w:val="clear" w:color="auto" w:fill="000080"/>
    </w:pPr>
  </w:style>
  <w:style w:type="paragraph" w:styleId="15">
    <w:name w:val="annotation text"/>
    <w:basedOn w:val="1"/>
    <w:link w:val="72"/>
    <w:qFormat/>
    <w:uiPriority w:val="99"/>
    <w:pPr>
      <w:jc w:val="left"/>
    </w:pPr>
  </w:style>
  <w:style w:type="paragraph" w:styleId="16">
    <w:name w:val="Salutation"/>
    <w:basedOn w:val="1"/>
    <w:next w:val="1"/>
    <w:link w:val="78"/>
    <w:qFormat/>
    <w:uiPriority w:val="99"/>
    <w:rPr>
      <w:sz w:val="28"/>
      <w:szCs w:val="20"/>
    </w:rPr>
  </w:style>
  <w:style w:type="paragraph" w:styleId="17">
    <w:name w:val="Body Text 3"/>
    <w:basedOn w:val="1"/>
    <w:link w:val="71"/>
    <w:qFormat/>
    <w:uiPriority w:val="99"/>
    <w:pPr>
      <w:spacing w:line="360" w:lineRule="auto"/>
    </w:pPr>
    <w:rPr>
      <w:sz w:val="24"/>
    </w:rPr>
  </w:style>
  <w:style w:type="paragraph" w:styleId="18">
    <w:name w:val="Body Text"/>
    <w:basedOn w:val="1"/>
    <w:link w:val="80"/>
    <w:qFormat/>
    <w:uiPriority w:val="99"/>
    <w:pPr>
      <w:spacing w:line="460" w:lineRule="exact"/>
    </w:pPr>
    <w:rPr>
      <w:sz w:val="28"/>
      <w:szCs w:val="28"/>
    </w:rPr>
  </w:style>
  <w:style w:type="paragraph" w:styleId="19">
    <w:name w:val="Body Text Indent"/>
    <w:basedOn w:val="1"/>
    <w:link w:val="76"/>
    <w:qFormat/>
    <w:uiPriority w:val="99"/>
    <w:pPr>
      <w:widowControl/>
      <w:autoSpaceDE w:val="0"/>
      <w:autoSpaceDN w:val="0"/>
      <w:spacing w:line="360" w:lineRule="auto"/>
      <w:ind w:firstLine="570"/>
      <w:textAlignment w:val="bottom"/>
    </w:pPr>
    <w:rPr>
      <w:rFonts w:ascii="宋体"/>
      <w:sz w:val="24"/>
      <w:szCs w:val="20"/>
    </w:rPr>
  </w:style>
  <w:style w:type="paragraph" w:styleId="20">
    <w:name w:val="Block Text"/>
    <w:basedOn w:val="1"/>
    <w:qFormat/>
    <w:uiPriority w:val="99"/>
    <w:pPr>
      <w:topLinePunct/>
      <w:spacing w:line="360" w:lineRule="auto"/>
      <w:ind w:left="340" w:right="113" w:firstLine="425"/>
    </w:pPr>
    <w:rPr>
      <w:rFonts w:ascii="宋体" w:hAnsi="宋体"/>
      <w:sz w:val="24"/>
    </w:rPr>
  </w:style>
  <w:style w:type="paragraph" w:styleId="21">
    <w:name w:val="toc 5"/>
    <w:basedOn w:val="1"/>
    <w:next w:val="1"/>
    <w:qFormat/>
    <w:uiPriority w:val="99"/>
    <w:pPr>
      <w:adjustRightInd w:val="0"/>
      <w:ind w:left="960" w:firstLine="198"/>
      <w:jc w:val="left"/>
      <w:textAlignment w:val="baseline"/>
    </w:pPr>
    <w:rPr>
      <w:sz w:val="18"/>
      <w:szCs w:val="20"/>
    </w:rPr>
  </w:style>
  <w:style w:type="paragraph" w:styleId="22">
    <w:name w:val="toc 3"/>
    <w:basedOn w:val="1"/>
    <w:next w:val="1"/>
    <w:qFormat/>
    <w:uiPriority w:val="39"/>
    <w:pPr>
      <w:ind w:left="840" w:leftChars="400"/>
    </w:pPr>
  </w:style>
  <w:style w:type="paragraph" w:styleId="23">
    <w:name w:val="Plain Text"/>
    <w:basedOn w:val="1"/>
    <w:link w:val="70"/>
    <w:qFormat/>
    <w:uiPriority w:val="99"/>
    <w:rPr>
      <w:rFonts w:ascii="宋体" w:hAnsi="Courier New"/>
      <w:szCs w:val="20"/>
    </w:rPr>
  </w:style>
  <w:style w:type="paragraph" w:styleId="24">
    <w:name w:val="toc 8"/>
    <w:basedOn w:val="1"/>
    <w:next w:val="1"/>
    <w:qFormat/>
    <w:uiPriority w:val="99"/>
    <w:pPr>
      <w:adjustRightInd w:val="0"/>
      <w:ind w:left="1680" w:firstLine="198"/>
      <w:jc w:val="left"/>
      <w:textAlignment w:val="baseline"/>
    </w:pPr>
    <w:rPr>
      <w:sz w:val="18"/>
      <w:szCs w:val="20"/>
    </w:rPr>
  </w:style>
  <w:style w:type="paragraph" w:styleId="25">
    <w:name w:val="Date"/>
    <w:basedOn w:val="1"/>
    <w:next w:val="1"/>
    <w:link w:val="75"/>
    <w:qFormat/>
    <w:uiPriority w:val="99"/>
    <w:pPr>
      <w:ind w:left="100" w:leftChars="2500"/>
    </w:pPr>
  </w:style>
  <w:style w:type="paragraph" w:styleId="26">
    <w:name w:val="Body Text Indent 2"/>
    <w:basedOn w:val="1"/>
    <w:link w:val="77"/>
    <w:qFormat/>
    <w:uiPriority w:val="99"/>
    <w:pPr>
      <w:ind w:left="360" w:firstLine="540"/>
    </w:pPr>
    <w:rPr>
      <w:rFonts w:ascii="宋体"/>
      <w:spacing w:val="20"/>
      <w:szCs w:val="20"/>
    </w:rPr>
  </w:style>
  <w:style w:type="paragraph" w:styleId="27">
    <w:name w:val="Balloon Text"/>
    <w:basedOn w:val="1"/>
    <w:link w:val="84"/>
    <w:qFormat/>
    <w:uiPriority w:val="99"/>
    <w:rPr>
      <w:rFonts w:ascii="Calibri" w:hAnsi="Calibri"/>
      <w:sz w:val="18"/>
      <w:szCs w:val="20"/>
    </w:rPr>
  </w:style>
  <w:style w:type="paragraph" w:styleId="28">
    <w:name w:val="footer"/>
    <w:basedOn w:val="1"/>
    <w:link w:val="50"/>
    <w:unhideWhenUsed/>
    <w:qFormat/>
    <w:uiPriority w:val="99"/>
    <w:pPr>
      <w:tabs>
        <w:tab w:val="center" w:pos="4153"/>
        <w:tab w:val="right" w:pos="8306"/>
      </w:tabs>
      <w:snapToGrid w:val="0"/>
      <w:jc w:val="left"/>
    </w:pPr>
    <w:rPr>
      <w:sz w:val="18"/>
      <w:szCs w:val="18"/>
    </w:rPr>
  </w:style>
  <w:style w:type="paragraph" w:styleId="29">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toc 4"/>
    <w:basedOn w:val="1"/>
    <w:next w:val="1"/>
    <w:qFormat/>
    <w:uiPriority w:val="99"/>
    <w:pPr>
      <w:ind w:left="1260" w:leftChars="600"/>
    </w:pPr>
  </w:style>
  <w:style w:type="paragraph" w:styleId="32">
    <w:name w:val="footnote text"/>
    <w:basedOn w:val="1"/>
    <w:link w:val="86"/>
    <w:qFormat/>
    <w:uiPriority w:val="99"/>
    <w:pPr>
      <w:snapToGrid w:val="0"/>
      <w:jc w:val="left"/>
    </w:pPr>
    <w:rPr>
      <w:sz w:val="18"/>
      <w:szCs w:val="18"/>
    </w:rPr>
  </w:style>
  <w:style w:type="paragraph" w:styleId="33">
    <w:name w:val="toc 6"/>
    <w:basedOn w:val="1"/>
    <w:next w:val="1"/>
    <w:qFormat/>
    <w:uiPriority w:val="99"/>
    <w:pPr>
      <w:adjustRightInd w:val="0"/>
      <w:ind w:left="1200" w:firstLine="198"/>
      <w:jc w:val="left"/>
      <w:textAlignment w:val="baseline"/>
    </w:pPr>
    <w:rPr>
      <w:sz w:val="18"/>
      <w:szCs w:val="20"/>
    </w:rPr>
  </w:style>
  <w:style w:type="paragraph" w:styleId="34">
    <w:name w:val="Body Text Indent 3"/>
    <w:basedOn w:val="1"/>
    <w:link w:val="87"/>
    <w:qFormat/>
    <w:uiPriority w:val="99"/>
    <w:pPr>
      <w:tabs>
        <w:tab w:val="left" w:pos="945"/>
      </w:tabs>
      <w:ind w:left="1155"/>
    </w:pPr>
    <w:rPr>
      <w:sz w:val="28"/>
      <w:szCs w:val="20"/>
    </w:rPr>
  </w:style>
  <w:style w:type="paragraph" w:styleId="35">
    <w:name w:val="toc 2"/>
    <w:basedOn w:val="1"/>
    <w:next w:val="1"/>
    <w:qFormat/>
    <w:uiPriority w:val="39"/>
    <w:pPr>
      <w:ind w:left="420" w:leftChars="200"/>
    </w:pPr>
  </w:style>
  <w:style w:type="paragraph" w:styleId="36">
    <w:name w:val="toc 9"/>
    <w:basedOn w:val="1"/>
    <w:next w:val="1"/>
    <w:qFormat/>
    <w:uiPriority w:val="99"/>
    <w:pPr>
      <w:adjustRightInd w:val="0"/>
      <w:ind w:left="1920" w:firstLine="198"/>
      <w:jc w:val="left"/>
      <w:textAlignment w:val="baseline"/>
    </w:pPr>
    <w:rPr>
      <w:sz w:val="18"/>
      <w:szCs w:val="20"/>
    </w:rPr>
  </w:style>
  <w:style w:type="paragraph" w:styleId="37">
    <w:name w:val="Body Text 2"/>
    <w:basedOn w:val="1"/>
    <w:link w:val="83"/>
    <w:qFormat/>
    <w:uiPriority w:val="99"/>
    <w:pPr>
      <w:spacing w:after="120" w:line="480" w:lineRule="auto"/>
    </w:pPr>
  </w:style>
  <w:style w:type="paragraph" w:styleId="38">
    <w:name w:val="Normal (Web)"/>
    <w:basedOn w:val="1"/>
    <w:qFormat/>
    <w:uiPriority w:val="99"/>
    <w:pPr>
      <w:widowControl/>
      <w:spacing w:before="100" w:beforeAutospacing="1" w:after="100" w:afterAutospacing="1" w:line="283" w:lineRule="atLeast"/>
      <w:jc w:val="left"/>
    </w:pPr>
    <w:rPr>
      <w:rFonts w:ascii="宋体" w:hAnsi="宋体"/>
      <w:color w:val="000000"/>
      <w:kern w:val="0"/>
      <w:sz w:val="19"/>
      <w:szCs w:val="19"/>
    </w:rPr>
  </w:style>
  <w:style w:type="paragraph" w:styleId="39">
    <w:name w:val="annotation subject"/>
    <w:basedOn w:val="15"/>
    <w:next w:val="15"/>
    <w:link w:val="81"/>
    <w:qFormat/>
    <w:uiPriority w:val="99"/>
    <w:rPr>
      <w:b/>
      <w:bCs/>
    </w:rPr>
  </w:style>
  <w:style w:type="paragraph" w:styleId="40">
    <w:name w:val="Body Text First Indent"/>
    <w:basedOn w:val="18"/>
    <w:link w:val="82"/>
    <w:qFormat/>
    <w:uiPriority w:val="99"/>
    <w:pPr>
      <w:spacing w:after="120" w:line="240" w:lineRule="auto"/>
      <w:ind w:firstLine="420" w:firstLineChars="100"/>
    </w:pPr>
    <w:rPr>
      <w:sz w:val="21"/>
      <w:szCs w:val="24"/>
    </w:rPr>
  </w:style>
  <w:style w:type="character" w:styleId="43">
    <w:name w:val="Strong"/>
    <w:basedOn w:val="42"/>
    <w:qFormat/>
    <w:uiPriority w:val="99"/>
    <w:rPr>
      <w:rFonts w:cs="Times New Roman"/>
      <w:b/>
      <w:bCs/>
    </w:rPr>
  </w:style>
  <w:style w:type="character" w:styleId="44">
    <w:name w:val="page number"/>
    <w:basedOn w:val="42"/>
    <w:qFormat/>
    <w:uiPriority w:val="99"/>
    <w:rPr>
      <w:rFonts w:cs="Times New Roman"/>
    </w:rPr>
  </w:style>
  <w:style w:type="character" w:styleId="45">
    <w:name w:val="FollowedHyperlink"/>
    <w:basedOn w:val="42"/>
    <w:qFormat/>
    <w:uiPriority w:val="99"/>
    <w:rPr>
      <w:rFonts w:cs="Times New Roman"/>
      <w:color w:val="800080"/>
      <w:u w:val="single"/>
    </w:rPr>
  </w:style>
  <w:style w:type="character" w:styleId="46">
    <w:name w:val="Hyperlink"/>
    <w:basedOn w:val="42"/>
    <w:qFormat/>
    <w:uiPriority w:val="99"/>
    <w:rPr>
      <w:rFonts w:cs="Times New Roman"/>
      <w:color w:val="0000FF"/>
      <w:u w:val="single"/>
    </w:rPr>
  </w:style>
  <w:style w:type="character" w:styleId="47">
    <w:name w:val="annotation reference"/>
    <w:basedOn w:val="42"/>
    <w:qFormat/>
    <w:uiPriority w:val="99"/>
    <w:rPr>
      <w:rFonts w:cs="Times New Roman"/>
      <w:sz w:val="21"/>
    </w:rPr>
  </w:style>
  <w:style w:type="character" w:styleId="48">
    <w:name w:val="footnote reference"/>
    <w:basedOn w:val="42"/>
    <w:qFormat/>
    <w:uiPriority w:val="99"/>
    <w:rPr>
      <w:rFonts w:cs="Times New Roman"/>
      <w:vertAlign w:val="superscript"/>
    </w:rPr>
  </w:style>
  <w:style w:type="character" w:customStyle="1" w:styleId="49">
    <w:name w:val="页眉 Char"/>
    <w:basedOn w:val="42"/>
    <w:link w:val="29"/>
    <w:semiHidden/>
    <w:qFormat/>
    <w:uiPriority w:val="99"/>
    <w:rPr>
      <w:sz w:val="18"/>
      <w:szCs w:val="18"/>
    </w:rPr>
  </w:style>
  <w:style w:type="character" w:customStyle="1" w:styleId="50">
    <w:name w:val="页脚 Char"/>
    <w:basedOn w:val="42"/>
    <w:link w:val="28"/>
    <w:semiHidden/>
    <w:qFormat/>
    <w:uiPriority w:val="99"/>
    <w:rPr>
      <w:sz w:val="18"/>
      <w:szCs w:val="18"/>
    </w:rPr>
  </w:style>
  <w:style w:type="character" w:customStyle="1" w:styleId="51">
    <w:name w:val="标题 1 Char"/>
    <w:basedOn w:val="42"/>
    <w:link w:val="2"/>
    <w:qFormat/>
    <w:uiPriority w:val="99"/>
    <w:rPr>
      <w:rFonts w:ascii="Times New Roman" w:hAnsi="Times New Roman" w:eastAsia="宋体" w:cs="Times New Roman"/>
      <w:szCs w:val="24"/>
    </w:rPr>
  </w:style>
  <w:style w:type="character" w:customStyle="1" w:styleId="52">
    <w:name w:val="标题 2 Char"/>
    <w:basedOn w:val="42"/>
    <w:link w:val="3"/>
    <w:qFormat/>
    <w:uiPriority w:val="99"/>
    <w:rPr>
      <w:rFonts w:ascii="Arial" w:hAnsi="Arial" w:eastAsia="黑体" w:cs="Times New Roman"/>
      <w:b/>
      <w:bCs/>
      <w:sz w:val="32"/>
      <w:szCs w:val="32"/>
    </w:rPr>
  </w:style>
  <w:style w:type="character" w:customStyle="1" w:styleId="53">
    <w:name w:val="标题 3 Char"/>
    <w:basedOn w:val="42"/>
    <w:link w:val="4"/>
    <w:qFormat/>
    <w:uiPriority w:val="99"/>
    <w:rPr>
      <w:rFonts w:ascii="Times New Roman" w:hAnsi="Times New Roman" w:eastAsia="宋体" w:cs="Times New Roman"/>
      <w:b/>
      <w:bCs/>
      <w:sz w:val="32"/>
      <w:szCs w:val="32"/>
    </w:rPr>
  </w:style>
  <w:style w:type="character" w:customStyle="1" w:styleId="54">
    <w:name w:val="标题 4 Char"/>
    <w:basedOn w:val="42"/>
    <w:link w:val="5"/>
    <w:qFormat/>
    <w:uiPriority w:val="99"/>
    <w:rPr>
      <w:rFonts w:ascii="Arial" w:hAnsi="Arial" w:eastAsia="黑体" w:cs="Times New Roman"/>
      <w:b/>
      <w:bCs/>
      <w:sz w:val="28"/>
      <w:szCs w:val="28"/>
    </w:rPr>
  </w:style>
  <w:style w:type="character" w:customStyle="1" w:styleId="55">
    <w:name w:val="标题 5 Char"/>
    <w:basedOn w:val="42"/>
    <w:link w:val="6"/>
    <w:qFormat/>
    <w:uiPriority w:val="99"/>
    <w:rPr>
      <w:rFonts w:ascii="Times New Roman" w:hAnsi="Times New Roman" w:eastAsia="宋体" w:cs="Times New Roman"/>
      <w:b/>
      <w:bCs/>
      <w:sz w:val="28"/>
      <w:szCs w:val="28"/>
    </w:rPr>
  </w:style>
  <w:style w:type="character" w:customStyle="1" w:styleId="56">
    <w:name w:val="标题 6 Char"/>
    <w:basedOn w:val="42"/>
    <w:link w:val="7"/>
    <w:qFormat/>
    <w:uiPriority w:val="99"/>
    <w:rPr>
      <w:rFonts w:ascii="Arial" w:hAnsi="Arial" w:eastAsia="黑体" w:cs="Times New Roman"/>
      <w:b/>
      <w:bCs/>
      <w:sz w:val="24"/>
      <w:szCs w:val="24"/>
    </w:rPr>
  </w:style>
  <w:style w:type="character" w:customStyle="1" w:styleId="57">
    <w:name w:val="标题 7 Char"/>
    <w:basedOn w:val="42"/>
    <w:link w:val="8"/>
    <w:qFormat/>
    <w:uiPriority w:val="99"/>
    <w:rPr>
      <w:rFonts w:ascii="Times New Roman" w:hAnsi="Times New Roman" w:eastAsia="宋体" w:cs="Times New Roman"/>
      <w:b/>
      <w:bCs/>
      <w:sz w:val="24"/>
      <w:szCs w:val="24"/>
    </w:rPr>
  </w:style>
  <w:style w:type="character" w:customStyle="1" w:styleId="58">
    <w:name w:val="标题 8 Char"/>
    <w:basedOn w:val="42"/>
    <w:link w:val="9"/>
    <w:qFormat/>
    <w:uiPriority w:val="99"/>
    <w:rPr>
      <w:rFonts w:ascii="Arial" w:hAnsi="Arial" w:eastAsia="黑体" w:cs="Times New Roman"/>
      <w:sz w:val="24"/>
      <w:szCs w:val="24"/>
    </w:rPr>
  </w:style>
  <w:style w:type="character" w:customStyle="1" w:styleId="59">
    <w:name w:val="标题 9 Char"/>
    <w:basedOn w:val="42"/>
    <w:link w:val="10"/>
    <w:qFormat/>
    <w:uiPriority w:val="99"/>
    <w:rPr>
      <w:rFonts w:ascii="Arial" w:hAnsi="Arial" w:eastAsia="黑体" w:cs="Times New Roman"/>
      <w:szCs w:val="21"/>
    </w:rPr>
  </w:style>
  <w:style w:type="character" w:customStyle="1" w:styleId="60">
    <w:name w:val="标题 3 Char1"/>
    <w:basedOn w:val="42"/>
    <w:link w:val="4"/>
    <w:qFormat/>
    <w:locked/>
    <w:uiPriority w:val="99"/>
    <w:rPr>
      <w:rFonts w:ascii="Times New Roman" w:hAnsi="Times New Roman" w:eastAsia="宋体" w:cs="Times New Roman"/>
      <w:b/>
      <w:bCs/>
      <w:sz w:val="32"/>
      <w:szCs w:val="32"/>
    </w:rPr>
  </w:style>
  <w:style w:type="character" w:customStyle="1" w:styleId="61">
    <w:name w:val="普通文字 Char Char"/>
    <w:basedOn w:val="42"/>
    <w:qFormat/>
    <w:uiPriority w:val="99"/>
    <w:rPr>
      <w:rFonts w:ascii="宋体" w:hAnsi="Courier New" w:eastAsia="宋体" w:cs="Courier New"/>
      <w:kern w:val="2"/>
      <w:sz w:val="21"/>
      <w:szCs w:val="21"/>
      <w:lang w:val="en-US" w:eastAsia="zh-CN" w:bidi="ar-SA"/>
    </w:rPr>
  </w:style>
  <w:style w:type="character" w:customStyle="1" w:styleId="62">
    <w:name w:val="样式 Arial 四号 黑色"/>
    <w:basedOn w:val="42"/>
    <w:qFormat/>
    <w:uiPriority w:val="99"/>
    <w:rPr>
      <w:rFonts w:ascii="Arial" w:hAnsi="Arial" w:cs="Times New Roman"/>
      <w:color w:val="000000"/>
      <w:sz w:val="24"/>
    </w:rPr>
  </w:style>
  <w:style w:type="character" w:customStyle="1" w:styleId="63">
    <w:name w:val="样式 标题 3 + 宋体 Char"/>
    <w:basedOn w:val="53"/>
    <w:qFormat/>
    <w:uiPriority w:val="99"/>
    <w:rPr>
      <w:rFonts w:ascii="宋体" w:hAnsi="宋体"/>
      <w:snapToGrid w:val="0"/>
      <w:lang w:val="en-US" w:eastAsia="zh-CN" w:bidi="ar-SA"/>
    </w:rPr>
  </w:style>
  <w:style w:type="character" w:customStyle="1" w:styleId="64">
    <w:name w:val="普通文字 Char Char Char"/>
    <w:basedOn w:val="42"/>
    <w:qFormat/>
    <w:uiPriority w:val="99"/>
    <w:rPr>
      <w:rFonts w:ascii="宋体" w:hAnsi="Courier New" w:eastAsia="宋体" w:cs="Courier New"/>
      <w:kern w:val="2"/>
      <w:sz w:val="21"/>
      <w:szCs w:val="21"/>
      <w:lang w:val="en-US" w:eastAsia="zh-CN" w:bidi="ar-SA"/>
    </w:rPr>
  </w:style>
  <w:style w:type="character" w:customStyle="1" w:styleId="65">
    <w:name w:val="Balloon Text Char"/>
    <w:qFormat/>
    <w:locked/>
    <w:uiPriority w:val="99"/>
    <w:rPr>
      <w:rFonts w:ascii="Calibri" w:hAnsi="Calibri" w:eastAsia="宋体"/>
      <w:kern w:val="2"/>
      <w:sz w:val="18"/>
      <w:lang w:val="en-US" w:eastAsia="zh-CN"/>
    </w:rPr>
  </w:style>
  <w:style w:type="character" w:customStyle="1" w:styleId="66">
    <w:name w:val="style121"/>
    <w:basedOn w:val="42"/>
    <w:qFormat/>
    <w:uiPriority w:val="99"/>
    <w:rPr>
      <w:rFonts w:cs="Times New Roman"/>
      <w:sz w:val="20"/>
      <w:szCs w:val="20"/>
    </w:rPr>
  </w:style>
  <w:style w:type="character" w:customStyle="1" w:styleId="67">
    <w:name w:val="标题3 Char Char"/>
    <w:link w:val="68"/>
    <w:qFormat/>
    <w:locked/>
    <w:uiPriority w:val="99"/>
    <w:rPr>
      <w:rFonts w:eastAsia="宋体"/>
      <w:sz w:val="24"/>
    </w:rPr>
  </w:style>
  <w:style w:type="paragraph" w:customStyle="1" w:styleId="68">
    <w:name w:val="标题3"/>
    <w:basedOn w:val="1"/>
    <w:link w:val="67"/>
    <w:qFormat/>
    <w:uiPriority w:val="99"/>
    <w:pPr>
      <w:spacing w:line="400" w:lineRule="exact"/>
    </w:pPr>
    <w:rPr>
      <w:rFonts w:asciiTheme="minorHAnsi" w:hAnsiTheme="minorHAnsi" w:cstheme="minorBidi"/>
      <w:sz w:val="24"/>
      <w:szCs w:val="22"/>
    </w:rPr>
  </w:style>
  <w:style w:type="character" w:customStyle="1" w:styleId="69">
    <w:name w:val="Plain Text Char"/>
    <w:qFormat/>
    <w:locked/>
    <w:uiPriority w:val="99"/>
    <w:rPr>
      <w:rFonts w:ascii="宋体" w:hAnsi="Courier New" w:eastAsia="宋体"/>
      <w:kern w:val="2"/>
      <w:sz w:val="21"/>
      <w:lang w:val="en-US" w:eastAsia="zh-CN"/>
    </w:rPr>
  </w:style>
  <w:style w:type="character" w:customStyle="1" w:styleId="70">
    <w:name w:val="纯文本 Char"/>
    <w:basedOn w:val="42"/>
    <w:link w:val="23"/>
    <w:qFormat/>
    <w:uiPriority w:val="99"/>
    <w:rPr>
      <w:rFonts w:ascii="宋体" w:hAnsi="Courier New" w:eastAsia="宋体" w:cs="Times New Roman"/>
      <w:szCs w:val="20"/>
    </w:rPr>
  </w:style>
  <w:style w:type="character" w:customStyle="1" w:styleId="71">
    <w:name w:val="正文文本 3 Char"/>
    <w:basedOn w:val="42"/>
    <w:link w:val="17"/>
    <w:qFormat/>
    <w:uiPriority w:val="99"/>
    <w:rPr>
      <w:rFonts w:ascii="Times New Roman" w:hAnsi="Times New Roman" w:eastAsia="宋体" w:cs="Times New Roman"/>
      <w:sz w:val="24"/>
      <w:szCs w:val="24"/>
    </w:rPr>
  </w:style>
  <w:style w:type="character" w:customStyle="1" w:styleId="72">
    <w:name w:val="批注文字 Char"/>
    <w:basedOn w:val="42"/>
    <w:link w:val="15"/>
    <w:qFormat/>
    <w:uiPriority w:val="99"/>
    <w:rPr>
      <w:rFonts w:ascii="Times New Roman" w:hAnsi="Times New Roman" w:eastAsia="宋体" w:cs="Times New Roman"/>
      <w:szCs w:val="24"/>
    </w:rPr>
  </w:style>
  <w:style w:type="paragraph" w:customStyle="1" w:styleId="73">
    <w:name w:val="Char Char1 Char Char Char Char Char Char"/>
    <w:basedOn w:val="1"/>
    <w:qFormat/>
    <w:uiPriority w:val="99"/>
    <w:pPr>
      <w:widowControl/>
      <w:spacing w:after="160" w:line="240" w:lineRule="exact"/>
      <w:jc w:val="left"/>
    </w:pPr>
  </w:style>
  <w:style w:type="paragraph" w:customStyle="1" w:styleId="74">
    <w:name w:val="xl57"/>
    <w:basedOn w:val="1"/>
    <w:qFormat/>
    <w:uiPriority w:val="99"/>
    <w:pPr>
      <w:widowControl/>
      <w:pBdr>
        <w:top w:val="single" w:color="auto" w:sz="4" w:space="0"/>
        <w:left w:val="single" w:color="auto" w:sz="4" w:space="0"/>
        <w:right w:val="single" w:color="auto" w:sz="4" w:space="0"/>
      </w:pBdr>
      <w:spacing w:before="100" w:after="100"/>
      <w:jc w:val="center"/>
      <w:textAlignment w:val="center"/>
    </w:pPr>
    <w:rPr>
      <w:rFonts w:ascii="宋体" w:hAnsi="宋体"/>
      <w:kern w:val="0"/>
      <w:sz w:val="20"/>
    </w:rPr>
  </w:style>
  <w:style w:type="character" w:customStyle="1" w:styleId="75">
    <w:name w:val="日期 Char"/>
    <w:basedOn w:val="42"/>
    <w:link w:val="25"/>
    <w:qFormat/>
    <w:uiPriority w:val="99"/>
    <w:rPr>
      <w:rFonts w:ascii="Times New Roman" w:hAnsi="Times New Roman" w:eastAsia="宋体" w:cs="Times New Roman"/>
      <w:szCs w:val="24"/>
    </w:rPr>
  </w:style>
  <w:style w:type="character" w:customStyle="1" w:styleId="76">
    <w:name w:val="正文文本缩进 Char"/>
    <w:basedOn w:val="42"/>
    <w:link w:val="19"/>
    <w:qFormat/>
    <w:uiPriority w:val="99"/>
    <w:rPr>
      <w:rFonts w:ascii="宋体" w:hAnsi="Times New Roman" w:eastAsia="宋体" w:cs="Times New Roman"/>
      <w:sz w:val="24"/>
      <w:szCs w:val="20"/>
    </w:rPr>
  </w:style>
  <w:style w:type="character" w:customStyle="1" w:styleId="77">
    <w:name w:val="正文文本缩进 2 Char"/>
    <w:basedOn w:val="42"/>
    <w:link w:val="26"/>
    <w:qFormat/>
    <w:uiPriority w:val="99"/>
    <w:rPr>
      <w:rFonts w:ascii="宋体" w:hAnsi="Times New Roman" w:eastAsia="宋体" w:cs="Times New Roman"/>
      <w:spacing w:val="20"/>
      <w:szCs w:val="20"/>
    </w:rPr>
  </w:style>
  <w:style w:type="character" w:customStyle="1" w:styleId="78">
    <w:name w:val="称呼 Char"/>
    <w:basedOn w:val="42"/>
    <w:link w:val="16"/>
    <w:uiPriority w:val="99"/>
    <w:rPr>
      <w:rFonts w:ascii="Times New Roman" w:hAnsi="Times New Roman" w:eastAsia="宋体" w:cs="Times New Roman"/>
      <w:sz w:val="28"/>
      <w:szCs w:val="20"/>
    </w:rPr>
  </w:style>
  <w:style w:type="paragraph" w:customStyle="1" w:styleId="79">
    <w:name w:val="图"/>
    <w:basedOn w:val="1"/>
    <w:qFormat/>
    <w:uiPriority w:val="99"/>
    <w:pPr>
      <w:keepNext/>
      <w:adjustRightInd w:val="0"/>
      <w:spacing w:before="60" w:after="60" w:line="300" w:lineRule="auto"/>
      <w:jc w:val="center"/>
      <w:textAlignment w:val="center"/>
    </w:pPr>
    <w:rPr>
      <w:spacing w:val="20"/>
      <w:kern w:val="0"/>
      <w:sz w:val="24"/>
      <w:szCs w:val="20"/>
    </w:rPr>
  </w:style>
  <w:style w:type="character" w:customStyle="1" w:styleId="80">
    <w:name w:val="正文文本 Char"/>
    <w:basedOn w:val="42"/>
    <w:link w:val="18"/>
    <w:qFormat/>
    <w:uiPriority w:val="99"/>
    <w:rPr>
      <w:rFonts w:ascii="Times New Roman" w:hAnsi="Times New Roman" w:eastAsia="宋体" w:cs="Times New Roman"/>
      <w:sz w:val="28"/>
      <w:szCs w:val="28"/>
    </w:rPr>
  </w:style>
  <w:style w:type="character" w:customStyle="1" w:styleId="81">
    <w:name w:val="批注主题 Char"/>
    <w:basedOn w:val="72"/>
    <w:link w:val="39"/>
    <w:qFormat/>
    <w:uiPriority w:val="99"/>
    <w:rPr>
      <w:b/>
      <w:bCs/>
    </w:rPr>
  </w:style>
  <w:style w:type="character" w:customStyle="1" w:styleId="82">
    <w:name w:val="正文首行缩进 Char"/>
    <w:basedOn w:val="80"/>
    <w:link w:val="40"/>
    <w:qFormat/>
    <w:uiPriority w:val="99"/>
    <w:rPr>
      <w:szCs w:val="24"/>
    </w:rPr>
  </w:style>
  <w:style w:type="character" w:customStyle="1" w:styleId="83">
    <w:name w:val="正文文本 2 Char"/>
    <w:basedOn w:val="42"/>
    <w:link w:val="37"/>
    <w:qFormat/>
    <w:uiPriority w:val="99"/>
    <w:rPr>
      <w:rFonts w:ascii="Times New Roman" w:hAnsi="Times New Roman" w:eastAsia="宋体" w:cs="Times New Roman"/>
      <w:szCs w:val="24"/>
    </w:rPr>
  </w:style>
  <w:style w:type="character" w:customStyle="1" w:styleId="84">
    <w:name w:val="批注框文本 Char"/>
    <w:basedOn w:val="42"/>
    <w:link w:val="27"/>
    <w:qFormat/>
    <w:uiPriority w:val="99"/>
    <w:rPr>
      <w:rFonts w:ascii="Calibri" w:hAnsi="Calibri" w:eastAsia="宋体" w:cs="Times New Roman"/>
      <w:sz w:val="18"/>
      <w:szCs w:val="20"/>
    </w:rPr>
  </w:style>
  <w:style w:type="character" w:customStyle="1" w:styleId="85">
    <w:name w:val="文档结构图 Char"/>
    <w:basedOn w:val="42"/>
    <w:link w:val="14"/>
    <w:semiHidden/>
    <w:qFormat/>
    <w:uiPriority w:val="99"/>
    <w:rPr>
      <w:rFonts w:ascii="Times New Roman" w:hAnsi="Times New Roman" w:eastAsia="宋体" w:cs="Times New Roman"/>
      <w:szCs w:val="24"/>
      <w:shd w:val="clear" w:color="auto" w:fill="000080"/>
    </w:rPr>
  </w:style>
  <w:style w:type="character" w:customStyle="1" w:styleId="86">
    <w:name w:val="脚注文本 Char"/>
    <w:basedOn w:val="42"/>
    <w:link w:val="32"/>
    <w:qFormat/>
    <w:uiPriority w:val="99"/>
    <w:rPr>
      <w:rFonts w:ascii="Times New Roman" w:hAnsi="Times New Roman" w:eastAsia="宋体" w:cs="Times New Roman"/>
      <w:sz w:val="18"/>
      <w:szCs w:val="18"/>
    </w:rPr>
  </w:style>
  <w:style w:type="character" w:customStyle="1" w:styleId="87">
    <w:name w:val="正文文本缩进 3 Char"/>
    <w:basedOn w:val="42"/>
    <w:link w:val="34"/>
    <w:qFormat/>
    <w:uiPriority w:val="99"/>
    <w:rPr>
      <w:rFonts w:ascii="Times New Roman" w:hAnsi="Times New Roman" w:eastAsia="宋体" w:cs="Times New Roman"/>
      <w:sz w:val="28"/>
      <w:szCs w:val="20"/>
    </w:rPr>
  </w:style>
  <w:style w:type="paragraph" w:customStyle="1" w:styleId="88">
    <w:name w:val="样式1"/>
    <w:basedOn w:val="1"/>
    <w:next w:val="5"/>
    <w:qFormat/>
    <w:uiPriority w:val="99"/>
    <w:pPr>
      <w:spacing w:line="360" w:lineRule="auto"/>
      <w:ind w:firstLine="420" w:firstLineChars="200"/>
    </w:pPr>
    <w:rPr>
      <w:rFonts w:ascii="宋体" w:hAnsi="宋体"/>
      <w:szCs w:val="21"/>
    </w:rPr>
  </w:style>
  <w:style w:type="paragraph" w:customStyle="1" w:styleId="89">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90">
    <w:name w:val="xl3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黑体"/>
      <w:kern w:val="0"/>
      <w:sz w:val="24"/>
    </w:rPr>
  </w:style>
  <w:style w:type="paragraph" w:customStyle="1" w:styleId="91">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92">
    <w:name w:val="xl48"/>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黑体"/>
      <w:kern w:val="0"/>
      <w:sz w:val="24"/>
    </w:rPr>
  </w:style>
  <w:style w:type="paragraph" w:customStyle="1" w:styleId="93">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黑体"/>
      <w:color w:val="000000"/>
      <w:kern w:val="0"/>
      <w:sz w:val="20"/>
      <w:szCs w:val="20"/>
    </w:rPr>
  </w:style>
  <w:style w:type="paragraph" w:customStyle="1" w:styleId="94">
    <w:name w:val="Char2"/>
    <w:basedOn w:val="1"/>
    <w:qFormat/>
    <w:uiPriority w:val="99"/>
    <w:pPr>
      <w:spacing w:line="360" w:lineRule="auto"/>
      <w:ind w:left="420" w:firstLine="420"/>
    </w:pPr>
    <w:rPr>
      <w:kern w:val="0"/>
      <w:sz w:val="24"/>
      <w:szCs w:val="21"/>
    </w:rPr>
  </w:style>
  <w:style w:type="paragraph" w:customStyle="1" w:styleId="95">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 w:hAnsi="??" w:cs="黑体"/>
      <w:color w:val="333333"/>
      <w:kern w:val="0"/>
      <w:sz w:val="20"/>
      <w:szCs w:val="20"/>
    </w:rPr>
  </w:style>
  <w:style w:type="paragraph" w:customStyle="1" w:styleId="96">
    <w:name w:val="xl31"/>
    <w:basedOn w:val="1"/>
    <w:qFormat/>
    <w:uiPriority w:val="99"/>
    <w:pPr>
      <w:widowControl/>
      <w:pBdr>
        <w:top w:val="single" w:color="auto" w:sz="4" w:space="0"/>
      </w:pBdr>
      <w:spacing w:before="100" w:beforeAutospacing="1" w:after="100" w:afterAutospacing="1"/>
      <w:jc w:val="center"/>
    </w:pPr>
    <w:rPr>
      <w:color w:val="000000"/>
      <w:kern w:val="0"/>
      <w:sz w:val="20"/>
      <w:szCs w:val="20"/>
    </w:rPr>
  </w:style>
  <w:style w:type="paragraph" w:customStyle="1" w:styleId="97">
    <w:name w:val="font11"/>
    <w:basedOn w:val="1"/>
    <w:qFormat/>
    <w:uiPriority w:val="99"/>
    <w:pPr>
      <w:widowControl/>
      <w:spacing w:before="100" w:beforeAutospacing="1" w:after="100" w:afterAutospacing="1"/>
      <w:jc w:val="left"/>
    </w:pPr>
    <w:rPr>
      <w:rFonts w:ascii="宋体" w:hAnsi="宋体" w:cs="黑体"/>
      <w:color w:val="333333"/>
      <w:kern w:val="0"/>
      <w:sz w:val="20"/>
      <w:szCs w:val="20"/>
    </w:rPr>
  </w:style>
  <w:style w:type="paragraph" w:customStyle="1" w:styleId="98">
    <w:name w:val="xl22"/>
    <w:basedOn w:val="1"/>
    <w:qFormat/>
    <w:uiPriority w:val="99"/>
    <w:pPr>
      <w:widowControl/>
      <w:spacing w:before="100" w:beforeAutospacing="1" w:after="100" w:afterAutospacing="1"/>
    </w:pPr>
    <w:rPr>
      <w:kern w:val="0"/>
      <w:szCs w:val="21"/>
    </w:rPr>
  </w:style>
  <w:style w:type="paragraph" w:customStyle="1" w:styleId="99">
    <w:name w:val="样式2"/>
    <w:basedOn w:val="2"/>
    <w:qFormat/>
    <w:uiPriority w:val="99"/>
    <w:pPr>
      <w:keepNext/>
      <w:keepLines/>
      <w:tabs>
        <w:tab w:val="left" w:pos="1440"/>
      </w:tabs>
      <w:spacing w:beforeLines="100" w:afterLines="100" w:line="360" w:lineRule="auto"/>
    </w:pPr>
    <w:rPr>
      <w:rFonts w:ascii="宋体" w:hAnsi="宋体"/>
      <w:b/>
      <w:kern w:val="44"/>
      <w:sz w:val="24"/>
      <w:szCs w:val="20"/>
    </w:rPr>
  </w:style>
  <w:style w:type="paragraph" w:customStyle="1" w:styleId="100">
    <w:name w:val="样式 标题 2H2l2I2 + 宋体"/>
    <w:basedOn w:val="3"/>
    <w:qFormat/>
    <w:uiPriority w:val="99"/>
    <w:pPr>
      <w:widowControl/>
      <w:spacing w:before="180" w:after="120" w:line="360" w:lineRule="auto"/>
      <w:ind w:left="720" w:hanging="720"/>
      <w:jc w:val="left"/>
    </w:pPr>
    <w:rPr>
      <w:rFonts w:ascii="宋体" w:hAnsi="宋体" w:eastAsia="宋体"/>
      <w:bCs w:val="0"/>
      <w:kern w:val="0"/>
      <w:sz w:val="24"/>
      <w:szCs w:val="24"/>
    </w:rPr>
  </w:style>
  <w:style w:type="paragraph" w:customStyle="1" w:styleId="101">
    <w:name w:val="xl2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黑体"/>
      <w:color w:val="000000"/>
      <w:kern w:val="0"/>
      <w:sz w:val="20"/>
      <w:szCs w:val="20"/>
    </w:rPr>
  </w:style>
  <w:style w:type="paragraph" w:customStyle="1" w:styleId="102">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黑体"/>
      <w:color w:val="333333"/>
      <w:kern w:val="0"/>
      <w:sz w:val="20"/>
      <w:szCs w:val="20"/>
    </w:rPr>
  </w:style>
  <w:style w:type="paragraph" w:customStyle="1" w:styleId="103">
    <w:name w:val="样式5"/>
    <w:basedOn w:val="1"/>
    <w:qFormat/>
    <w:uiPriority w:val="99"/>
    <w:pPr>
      <w:tabs>
        <w:tab w:val="left" w:pos="1560"/>
      </w:tabs>
      <w:ind w:left="1560" w:hanging="720"/>
    </w:pPr>
  </w:style>
  <w:style w:type="paragraph" w:customStyle="1" w:styleId="104">
    <w:name w:val="标题1"/>
    <w:basedOn w:val="1"/>
    <w:qFormat/>
    <w:uiPriority w:val="99"/>
    <w:pPr>
      <w:jc w:val="center"/>
    </w:pPr>
    <w:rPr>
      <w:sz w:val="36"/>
      <w:szCs w:val="36"/>
    </w:rPr>
  </w:style>
  <w:style w:type="paragraph" w:customStyle="1" w:styleId="105">
    <w:name w:val="font7"/>
    <w:basedOn w:val="1"/>
    <w:qFormat/>
    <w:uiPriority w:val="99"/>
    <w:pPr>
      <w:widowControl/>
      <w:spacing w:before="100" w:beforeAutospacing="1" w:after="100" w:afterAutospacing="1"/>
      <w:jc w:val="left"/>
    </w:pPr>
    <w:rPr>
      <w:rFonts w:ascii="宋体" w:hAnsi="宋体" w:cs="黑体"/>
      <w:kern w:val="0"/>
      <w:sz w:val="18"/>
      <w:szCs w:val="18"/>
    </w:rPr>
  </w:style>
  <w:style w:type="paragraph" w:customStyle="1" w:styleId="106">
    <w:name w:val="xl3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7">
    <w:name w:val="font10"/>
    <w:basedOn w:val="1"/>
    <w:qFormat/>
    <w:uiPriority w:val="99"/>
    <w:pPr>
      <w:widowControl/>
      <w:spacing w:before="100" w:beforeAutospacing="1" w:after="100" w:afterAutospacing="1"/>
      <w:jc w:val="left"/>
    </w:pPr>
    <w:rPr>
      <w:rFonts w:ascii="??" w:hAnsi="??" w:cs="黑体"/>
      <w:color w:val="333333"/>
      <w:kern w:val="0"/>
      <w:sz w:val="20"/>
      <w:szCs w:val="20"/>
    </w:rPr>
  </w:style>
  <w:style w:type="paragraph" w:customStyle="1" w:styleId="10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黑体"/>
      <w:color w:val="333333"/>
      <w:kern w:val="0"/>
      <w:sz w:val="20"/>
      <w:szCs w:val="20"/>
    </w:rPr>
  </w:style>
  <w:style w:type="paragraph" w:customStyle="1" w:styleId="109">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 w:hAnsi="??" w:cs="黑体"/>
      <w:color w:val="333333"/>
      <w:kern w:val="0"/>
      <w:sz w:val="20"/>
      <w:szCs w:val="20"/>
    </w:rPr>
  </w:style>
  <w:style w:type="paragraph" w:customStyle="1" w:styleId="110">
    <w:name w:val="样式8"/>
    <w:basedOn w:val="1"/>
    <w:qFormat/>
    <w:uiPriority w:val="99"/>
    <w:pPr>
      <w:spacing w:beforeLines="20"/>
      <w:ind w:firstLine="425"/>
    </w:pPr>
    <w:rPr>
      <w:sz w:val="24"/>
    </w:rPr>
  </w:style>
  <w:style w:type="paragraph" w:customStyle="1" w:styleId="111">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黑体"/>
      <w:kern w:val="0"/>
      <w:sz w:val="20"/>
      <w:szCs w:val="20"/>
    </w:rPr>
  </w:style>
  <w:style w:type="paragraph" w:customStyle="1" w:styleId="112">
    <w:name w:val="默认段落字体 Para Char Char Char Char"/>
    <w:basedOn w:val="1"/>
    <w:qFormat/>
    <w:uiPriority w:val="99"/>
    <w:pPr>
      <w:spacing w:line="240" w:lineRule="atLeast"/>
      <w:ind w:left="420" w:firstLine="420"/>
    </w:pPr>
    <w:rPr>
      <w:kern w:val="0"/>
      <w:szCs w:val="21"/>
    </w:rPr>
  </w:style>
  <w:style w:type="paragraph" w:customStyle="1" w:styleId="113">
    <w:name w:val="xl60"/>
    <w:basedOn w:val="1"/>
    <w:qFormat/>
    <w:uiPriority w:val="99"/>
    <w:pPr>
      <w:widowControl/>
      <w:pBdr>
        <w:top w:val="single" w:color="auto" w:sz="4" w:space="0"/>
      </w:pBdr>
      <w:spacing w:before="100" w:after="100"/>
      <w:jc w:val="center"/>
      <w:textAlignment w:val="center"/>
    </w:pPr>
    <w:rPr>
      <w:rFonts w:ascii="宋体" w:hAnsi="宋体"/>
      <w:kern w:val="0"/>
      <w:sz w:val="20"/>
    </w:rPr>
  </w:style>
  <w:style w:type="paragraph" w:customStyle="1" w:styleId="114">
    <w:name w:val="Char Char1 Char Char Char Char1"/>
    <w:basedOn w:val="1"/>
    <w:qFormat/>
    <w:uiPriority w:val="99"/>
    <w:pPr>
      <w:widowControl/>
      <w:spacing w:after="160" w:line="240" w:lineRule="exact"/>
      <w:jc w:val="left"/>
    </w:pPr>
    <w:rPr>
      <w:rFonts w:ascii="Verdana" w:hAnsi="Verdana"/>
      <w:kern w:val="0"/>
      <w:szCs w:val="20"/>
    </w:rPr>
  </w:style>
  <w:style w:type="paragraph" w:customStyle="1" w:styleId="115">
    <w:name w:val="font6"/>
    <w:basedOn w:val="1"/>
    <w:qFormat/>
    <w:uiPriority w:val="99"/>
    <w:pPr>
      <w:widowControl/>
      <w:spacing w:before="100" w:beforeAutospacing="1" w:after="100" w:afterAutospacing="1"/>
      <w:jc w:val="left"/>
    </w:pPr>
    <w:rPr>
      <w:rFonts w:ascii="宋体" w:hAnsi="宋体" w:cs="黑体"/>
      <w:kern w:val="0"/>
      <w:sz w:val="20"/>
      <w:szCs w:val="20"/>
    </w:rPr>
  </w:style>
  <w:style w:type="paragraph" w:customStyle="1" w:styleId="116">
    <w:name w:val="样式4"/>
    <w:basedOn w:val="88"/>
    <w:qFormat/>
    <w:uiPriority w:val="99"/>
    <w:pPr>
      <w:adjustRightInd w:val="0"/>
      <w:spacing w:before="40" w:after="40" w:line="240" w:lineRule="auto"/>
      <w:ind w:firstLine="0" w:firstLineChars="0"/>
      <w:textAlignment w:val="baseline"/>
    </w:pPr>
    <w:rPr>
      <w:rFonts w:ascii="Arial" w:hAnsi="Times New Roman"/>
      <w:kern w:val="28"/>
      <w:sz w:val="28"/>
      <w:szCs w:val="20"/>
    </w:rPr>
  </w:style>
  <w:style w:type="paragraph" w:customStyle="1" w:styleId="117">
    <w:name w:val="_Style 55"/>
    <w:basedOn w:val="1"/>
    <w:qFormat/>
    <w:uiPriority w:val="99"/>
    <w:pPr>
      <w:widowControl/>
      <w:spacing w:after="160" w:line="240" w:lineRule="exact"/>
      <w:jc w:val="left"/>
    </w:pPr>
  </w:style>
  <w:style w:type="paragraph" w:customStyle="1" w:styleId="118">
    <w:name w:val="Char Char1 Char Char Char Char"/>
    <w:basedOn w:val="1"/>
    <w:qFormat/>
    <w:uiPriority w:val="99"/>
    <w:pPr>
      <w:widowControl/>
      <w:spacing w:after="160" w:line="240" w:lineRule="exact"/>
      <w:jc w:val="left"/>
    </w:pPr>
    <w:rPr>
      <w:rFonts w:ascii="Verdana" w:hAnsi="Verdana"/>
      <w:kern w:val="0"/>
      <w:szCs w:val="20"/>
    </w:rPr>
  </w:style>
  <w:style w:type="paragraph" w:customStyle="1" w:styleId="119">
    <w:name w:val="xl61"/>
    <w:basedOn w:val="1"/>
    <w:qFormat/>
    <w:uiPriority w:val="99"/>
    <w:pPr>
      <w:widowControl/>
      <w:spacing w:before="100" w:after="100"/>
      <w:jc w:val="center"/>
    </w:pPr>
    <w:rPr>
      <w:rFonts w:ascii="宋体" w:hAnsi="宋体"/>
      <w:kern w:val="0"/>
      <w:sz w:val="20"/>
    </w:rPr>
  </w:style>
  <w:style w:type="paragraph" w:customStyle="1" w:styleId="120">
    <w:name w:val="样式 标题 5 + 宋体"/>
    <w:basedOn w:val="6"/>
    <w:qFormat/>
    <w:uiPriority w:val="99"/>
    <w:pPr>
      <w:widowControl/>
      <w:tabs>
        <w:tab w:val="left" w:pos="1800"/>
        <w:tab w:val="clear" w:pos="1008"/>
      </w:tabs>
      <w:spacing w:before="0" w:after="120" w:line="240" w:lineRule="auto"/>
      <w:ind w:left="2525" w:hanging="1305"/>
    </w:pPr>
    <w:rPr>
      <w:rFonts w:ascii="宋体" w:hAnsi="宋体"/>
      <w:b w:val="0"/>
      <w:bCs w:val="0"/>
      <w:kern w:val="0"/>
      <w:sz w:val="24"/>
    </w:rPr>
  </w:style>
  <w:style w:type="paragraph" w:customStyle="1" w:styleId="121">
    <w:name w:val="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22">
    <w:name w:val="样式6"/>
    <w:basedOn w:val="1"/>
    <w:qFormat/>
    <w:uiPriority w:val="99"/>
    <w:pPr>
      <w:spacing w:beforeLines="40"/>
      <w:ind w:left="475" w:firstLine="425"/>
    </w:pPr>
    <w:rPr>
      <w:sz w:val="24"/>
    </w:rPr>
  </w:style>
  <w:style w:type="paragraph" w:customStyle="1" w:styleId="123">
    <w:name w:val="Style Heading 3Heading 3 - oldH3H31H32H33H34H35H36H37H38..."/>
    <w:basedOn w:val="4"/>
    <w:qFormat/>
    <w:uiPriority w:val="99"/>
    <w:pPr>
      <w:tabs>
        <w:tab w:val="left" w:pos="705"/>
        <w:tab w:val="left" w:pos="1680"/>
      </w:tabs>
      <w:spacing w:beforeLines="50" w:line="360" w:lineRule="auto"/>
      <w:ind w:left="705" w:hanging="705"/>
    </w:pPr>
    <w:rPr>
      <w:rFonts w:ascii="Arial" w:hAnsi="Arial" w:eastAsia="黑体"/>
      <w:b w:val="0"/>
      <w:bCs w:val="0"/>
      <w:sz w:val="28"/>
      <w:szCs w:val="28"/>
    </w:rPr>
  </w:style>
  <w:style w:type="paragraph" w:customStyle="1" w:styleId="124">
    <w:name w:val="Char1 Char Char Char"/>
    <w:basedOn w:val="1"/>
    <w:qFormat/>
    <w:uiPriority w:val="99"/>
    <w:rPr>
      <w:rFonts w:ascii="Tahoma" w:hAnsi="Tahoma"/>
      <w:sz w:val="24"/>
      <w:szCs w:val="20"/>
    </w:rPr>
  </w:style>
  <w:style w:type="paragraph" w:customStyle="1" w:styleId="125">
    <w:name w:val="xl5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26">
    <w:name w:val="Char Char1"/>
    <w:basedOn w:val="1"/>
    <w:qFormat/>
    <w:uiPriority w:val="99"/>
    <w:pPr>
      <w:widowControl/>
      <w:spacing w:after="160" w:line="240" w:lineRule="exact"/>
      <w:jc w:val="left"/>
    </w:pPr>
    <w:rPr>
      <w:rFonts w:ascii="Verdana" w:hAnsi="Verdana"/>
      <w:kern w:val="0"/>
      <w:szCs w:val="20"/>
    </w:rPr>
  </w:style>
  <w:style w:type="paragraph" w:customStyle="1" w:styleId="127">
    <w:name w:val="Body Text Indent 31"/>
    <w:basedOn w:val="1"/>
    <w:qFormat/>
    <w:uiPriority w:val="99"/>
    <w:pPr>
      <w:adjustRightInd w:val="0"/>
      <w:spacing w:after="240"/>
      <w:ind w:left="792" w:firstLine="480"/>
      <w:textAlignment w:val="baseline"/>
    </w:pPr>
    <w:rPr>
      <w:sz w:val="24"/>
      <w:szCs w:val="20"/>
    </w:rPr>
  </w:style>
  <w:style w:type="paragraph" w:customStyle="1" w:styleId="128">
    <w:name w:val="需求书2"/>
    <w:basedOn w:val="1"/>
    <w:qFormat/>
    <w:uiPriority w:val="99"/>
    <w:pPr>
      <w:tabs>
        <w:tab w:val="left" w:pos="1440"/>
      </w:tabs>
      <w:topLinePunct/>
      <w:spacing w:line="360" w:lineRule="auto"/>
      <w:outlineLvl w:val="0"/>
    </w:pPr>
    <w:rPr>
      <w:rFonts w:ascii="宋体" w:hAnsi="宋体"/>
      <w:sz w:val="24"/>
    </w:rPr>
  </w:style>
  <w:style w:type="paragraph" w:customStyle="1" w:styleId="129">
    <w:name w:val="font5"/>
    <w:basedOn w:val="1"/>
    <w:qFormat/>
    <w:uiPriority w:val="99"/>
    <w:pPr>
      <w:widowControl/>
      <w:spacing w:before="100" w:beforeAutospacing="1" w:after="100" w:afterAutospacing="1"/>
      <w:jc w:val="left"/>
    </w:pPr>
    <w:rPr>
      <w:kern w:val="0"/>
      <w:sz w:val="20"/>
      <w:szCs w:val="20"/>
    </w:rPr>
  </w:style>
  <w:style w:type="paragraph" w:customStyle="1" w:styleId="130">
    <w:name w:val="样式 标题 3 + 宋体"/>
    <w:basedOn w:val="4"/>
    <w:qFormat/>
    <w:uiPriority w:val="99"/>
    <w:pPr>
      <w:widowControl/>
      <w:tabs>
        <w:tab w:val="left" w:pos="720"/>
        <w:tab w:val="left" w:pos="1080"/>
      </w:tabs>
      <w:spacing w:before="0" w:after="120" w:line="240" w:lineRule="auto"/>
      <w:ind w:left="1754" w:hanging="794"/>
    </w:pPr>
    <w:rPr>
      <w:rFonts w:ascii="宋体" w:hAnsi="宋体"/>
      <w:b w:val="0"/>
      <w:bCs w:val="0"/>
      <w:kern w:val="0"/>
      <w:sz w:val="24"/>
    </w:rPr>
  </w:style>
  <w:style w:type="paragraph" w:customStyle="1" w:styleId="131">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黑体"/>
      <w:kern w:val="0"/>
      <w:sz w:val="20"/>
      <w:szCs w:val="20"/>
    </w:rPr>
  </w:style>
  <w:style w:type="paragraph" w:customStyle="1" w:styleId="132">
    <w:name w:val="xl55"/>
    <w:basedOn w:val="1"/>
    <w:qFormat/>
    <w:uiPriority w:val="99"/>
    <w:pPr>
      <w:widowControl/>
      <w:pBdr>
        <w:left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33">
    <w:name w:val="comments"/>
    <w:basedOn w:val="1"/>
    <w:qFormat/>
    <w:uiPriority w:val="99"/>
    <w:pPr>
      <w:adjustRightInd w:val="0"/>
      <w:spacing w:after="100"/>
      <w:ind w:left="2340" w:leftChars="975"/>
      <w:textAlignment w:val="baseline"/>
    </w:pPr>
    <w:rPr>
      <w:sz w:val="24"/>
      <w:szCs w:val="20"/>
    </w:rPr>
  </w:style>
  <w:style w:type="paragraph" w:customStyle="1" w:styleId="134">
    <w:name w:val="Body Text Indent 21"/>
    <w:basedOn w:val="1"/>
    <w:qFormat/>
    <w:uiPriority w:val="99"/>
    <w:pPr>
      <w:adjustRightInd w:val="0"/>
      <w:spacing w:after="240"/>
      <w:ind w:left="1080" w:firstLine="480"/>
      <w:textAlignment w:val="baseline"/>
    </w:pPr>
    <w:rPr>
      <w:sz w:val="24"/>
      <w:szCs w:val="20"/>
    </w:rPr>
  </w:style>
  <w:style w:type="paragraph" w:customStyle="1" w:styleId="135">
    <w:name w:val="正文2"/>
    <w:qFormat/>
    <w:uiPriority w:val="99"/>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136">
    <w:name w:val="font9"/>
    <w:basedOn w:val="1"/>
    <w:qFormat/>
    <w:uiPriority w:val="99"/>
    <w:pPr>
      <w:widowControl/>
      <w:spacing w:before="100" w:beforeAutospacing="1" w:after="100" w:afterAutospacing="1"/>
      <w:jc w:val="left"/>
    </w:pPr>
    <w:rPr>
      <w:color w:val="000000"/>
      <w:kern w:val="0"/>
      <w:sz w:val="20"/>
      <w:szCs w:val="20"/>
    </w:rPr>
  </w:style>
  <w:style w:type="paragraph" w:customStyle="1" w:styleId="137">
    <w:name w:val="标书正文"/>
    <w:basedOn w:val="1"/>
    <w:qFormat/>
    <w:uiPriority w:val="99"/>
    <w:pPr>
      <w:adjustRightInd w:val="0"/>
      <w:spacing w:line="360" w:lineRule="auto"/>
      <w:ind w:left="840" w:hanging="840"/>
      <w:textAlignment w:val="baseline"/>
    </w:pPr>
    <w:rPr>
      <w:rFonts w:ascii="楷体_GB2312" w:eastAsia="楷体_GB2312"/>
      <w:kern w:val="0"/>
      <w:sz w:val="28"/>
      <w:szCs w:val="20"/>
    </w:rPr>
  </w:style>
  <w:style w:type="paragraph" w:customStyle="1" w:styleId="138">
    <w:name w:val="Default"/>
    <w:qFormat/>
    <w:uiPriority w:val="99"/>
    <w:pPr>
      <w:widowControl w:val="0"/>
      <w:autoSpaceDE w:val="0"/>
      <w:autoSpaceDN w:val="0"/>
      <w:adjustRightInd w:val="0"/>
    </w:pPr>
    <w:rPr>
      <w:rFonts w:ascii="Fake Font" w:hAnsi="Times New Roman" w:eastAsia="Fake Font" w:cs="Fake Font"/>
      <w:color w:val="000000"/>
      <w:kern w:val="0"/>
      <w:sz w:val="24"/>
      <w:szCs w:val="24"/>
      <w:lang w:val="en-US" w:eastAsia="zh-CN" w:bidi="ar-SA"/>
    </w:rPr>
  </w:style>
  <w:style w:type="paragraph" w:customStyle="1" w:styleId="139">
    <w:name w:val="xl4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黑体"/>
      <w:color w:val="000000"/>
      <w:kern w:val="0"/>
      <w:sz w:val="20"/>
      <w:szCs w:val="20"/>
    </w:rPr>
  </w:style>
  <w:style w:type="paragraph" w:customStyle="1" w:styleId="140">
    <w:name w:val="标题2"/>
    <w:basedOn w:val="1"/>
    <w:qFormat/>
    <w:uiPriority w:val="99"/>
    <w:pPr>
      <w:spacing w:line="400" w:lineRule="exact"/>
    </w:pPr>
    <w:rPr>
      <w:sz w:val="28"/>
      <w:szCs w:val="28"/>
    </w:rPr>
  </w:style>
  <w:style w:type="paragraph" w:customStyle="1" w:styleId="141">
    <w:name w:val="(i)tems"/>
    <w:basedOn w:val="1"/>
    <w:qFormat/>
    <w:uiPriority w:val="99"/>
    <w:pPr>
      <w:tabs>
        <w:tab w:val="left" w:pos="1474"/>
      </w:tabs>
      <w:adjustRightInd w:val="0"/>
      <w:spacing w:after="240"/>
      <w:ind w:left="1474" w:hanging="56"/>
      <w:textAlignment w:val="baseline"/>
    </w:pPr>
    <w:rPr>
      <w:sz w:val="24"/>
      <w:szCs w:val="20"/>
    </w:rPr>
  </w:style>
  <w:style w:type="paragraph" w:customStyle="1" w:styleId="142">
    <w:name w:val="xl5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黑体"/>
      <w:color w:val="000000"/>
      <w:kern w:val="0"/>
      <w:sz w:val="20"/>
      <w:szCs w:val="20"/>
    </w:rPr>
  </w:style>
  <w:style w:type="paragraph" w:customStyle="1" w:styleId="143">
    <w:name w:val="Char Char1 Char Char Char Char2"/>
    <w:basedOn w:val="1"/>
    <w:qFormat/>
    <w:uiPriority w:val="99"/>
    <w:pPr>
      <w:widowControl/>
      <w:spacing w:after="160" w:line="240" w:lineRule="exact"/>
      <w:jc w:val="left"/>
    </w:pPr>
  </w:style>
  <w:style w:type="paragraph" w:customStyle="1" w:styleId="144">
    <w:name w:val="Char1"/>
    <w:basedOn w:val="1"/>
    <w:qFormat/>
    <w:uiPriority w:val="99"/>
    <w:rPr>
      <w:rFonts w:ascii="Tahoma" w:hAnsi="Tahoma"/>
      <w:sz w:val="24"/>
      <w:szCs w:val="20"/>
    </w:rPr>
  </w:style>
  <w:style w:type="paragraph" w:customStyle="1" w:styleId="145">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6">
    <w:name w:val="list"/>
    <w:basedOn w:val="1"/>
    <w:qFormat/>
    <w:uiPriority w:val="99"/>
    <w:pPr>
      <w:adjustRightInd w:val="0"/>
      <w:spacing w:after="120" w:line="300" w:lineRule="auto"/>
      <w:ind w:left="2387" w:hanging="227"/>
      <w:textAlignment w:val="baseline"/>
    </w:pPr>
    <w:rPr>
      <w:rFonts w:ascii="宋体" w:hAnsi="宋体"/>
      <w:sz w:val="24"/>
      <w:szCs w:val="20"/>
    </w:rPr>
  </w:style>
  <w:style w:type="paragraph" w:customStyle="1" w:styleId="147">
    <w:name w:val="Style Heading 2H2Heading 2 HiddenHeading 2 CCBSheading 2HD2Ti..."/>
    <w:basedOn w:val="3"/>
    <w:qFormat/>
    <w:uiPriority w:val="99"/>
    <w:pPr>
      <w:spacing w:line="360" w:lineRule="auto"/>
    </w:pPr>
    <w:rPr>
      <w:sz w:val="30"/>
      <w:szCs w:val="30"/>
    </w:rPr>
  </w:style>
  <w:style w:type="paragraph" w:customStyle="1" w:styleId="14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9">
    <w:name w:val="基准标题"/>
    <w:basedOn w:val="1"/>
    <w:next w:val="1"/>
    <w:qFormat/>
    <w:uiPriority w:val="99"/>
    <w:pPr>
      <w:keepNext/>
      <w:keepLines/>
      <w:widowControl/>
      <w:tabs>
        <w:tab w:val="left" w:pos="720"/>
      </w:tabs>
      <w:overflowPunct w:val="0"/>
      <w:spacing w:line="400" w:lineRule="atLeast"/>
      <w:ind w:left="482" w:right="28" w:hanging="482" w:hangingChars="225"/>
    </w:pPr>
    <w:rPr>
      <w:rFonts w:ascii="Arial" w:hAnsi="Arial"/>
      <w:spacing w:val="-10"/>
      <w:kern w:val="20"/>
      <w:szCs w:val="20"/>
    </w:rPr>
  </w:style>
  <w:style w:type="paragraph" w:customStyle="1" w:styleId="15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黑体"/>
      <w:color w:val="000000"/>
      <w:kern w:val="0"/>
      <w:sz w:val="20"/>
      <w:szCs w:val="20"/>
    </w:rPr>
  </w:style>
  <w:style w:type="paragraph" w:customStyle="1" w:styleId="151">
    <w:name w:val="Style Style Heading 1 + 二号 +1"/>
    <w:basedOn w:val="1"/>
    <w:qFormat/>
    <w:uiPriority w:val="99"/>
    <w:pPr>
      <w:keepNext/>
      <w:keepLines/>
      <w:spacing w:before="340" w:after="330" w:line="360" w:lineRule="auto"/>
      <w:ind w:left="704" w:hanging="704"/>
      <w:outlineLvl w:val="0"/>
    </w:pPr>
    <w:rPr>
      <w:rFonts w:eastAsia="黑体"/>
      <w:b/>
      <w:bCs/>
      <w:sz w:val="44"/>
      <w:szCs w:val="20"/>
    </w:rPr>
  </w:style>
  <w:style w:type="paragraph" w:customStyle="1" w:styleId="152">
    <w:name w:val="样式3"/>
    <w:basedOn w:val="1"/>
    <w:qFormat/>
    <w:uiPriority w:val="99"/>
    <w:pPr>
      <w:ind w:firstLine="425"/>
    </w:pPr>
    <w:rPr>
      <w:sz w:val="24"/>
    </w:rPr>
  </w:style>
  <w:style w:type="paragraph" w:customStyle="1" w:styleId="153">
    <w:name w:val="Fig"/>
    <w:basedOn w:val="1"/>
    <w:qFormat/>
    <w:uiPriority w:val="99"/>
    <w:pPr>
      <w:keepLines/>
      <w:widowControl/>
      <w:tabs>
        <w:tab w:val="left" w:pos="360"/>
        <w:tab w:val="left" w:pos="425"/>
        <w:tab w:val="left" w:pos="567"/>
        <w:tab w:val="left" w:pos="1440"/>
      </w:tabs>
      <w:spacing w:before="120" w:after="120" w:line="360" w:lineRule="auto"/>
      <w:ind w:left="425" w:hanging="425"/>
      <w:jc w:val="center"/>
    </w:pPr>
    <w:rPr>
      <w:rFonts w:ascii="Arial" w:hAnsi="Arial" w:cs="Arial"/>
      <w:b/>
      <w:bCs/>
      <w:i/>
      <w:iCs/>
      <w:kern w:val="0"/>
      <w:sz w:val="22"/>
      <w:szCs w:val="22"/>
    </w:rPr>
  </w:style>
  <w:style w:type="paragraph" w:customStyle="1" w:styleId="154">
    <w:name w:val="Char2 Char Char"/>
    <w:basedOn w:val="1"/>
    <w:qFormat/>
    <w:uiPriority w:val="99"/>
    <w:rPr>
      <w:rFonts w:ascii="Tahoma" w:hAnsi="Tahoma"/>
      <w:sz w:val="24"/>
      <w:szCs w:val="20"/>
    </w:rPr>
  </w:style>
  <w:style w:type="paragraph" w:customStyle="1" w:styleId="155">
    <w:name w:val="font8"/>
    <w:basedOn w:val="1"/>
    <w:uiPriority w:val="99"/>
    <w:pPr>
      <w:widowControl/>
      <w:spacing w:before="100" w:beforeAutospacing="1" w:after="100" w:afterAutospacing="1"/>
      <w:jc w:val="left"/>
    </w:pPr>
    <w:rPr>
      <w:rFonts w:ascii="宋体" w:hAnsi="宋体" w:cs="黑体"/>
      <w:color w:val="000000"/>
      <w:kern w:val="0"/>
      <w:sz w:val="20"/>
      <w:szCs w:val="20"/>
    </w:rPr>
  </w:style>
  <w:style w:type="paragraph" w:customStyle="1" w:styleId="156">
    <w:name w:val="正文1"/>
    <w:basedOn w:val="1"/>
    <w:qFormat/>
    <w:uiPriority w:val="99"/>
    <w:pPr>
      <w:tabs>
        <w:tab w:val="left" w:pos="2940"/>
      </w:tabs>
      <w:spacing w:before="60" w:after="60" w:line="360" w:lineRule="auto"/>
      <w:ind w:left="384" w:leftChars="100" w:hanging="284"/>
      <w:outlineLvl w:val="6"/>
    </w:pPr>
    <w:rPr>
      <w:sz w:val="24"/>
    </w:rPr>
  </w:style>
  <w:style w:type="paragraph" w:customStyle="1" w:styleId="157">
    <w:name w:val="Body Text No After Space"/>
    <w:basedOn w:val="18"/>
    <w:qFormat/>
    <w:uiPriority w:val="99"/>
    <w:pPr>
      <w:widowControl/>
      <w:tabs>
        <w:tab w:val="left" w:pos="2268"/>
        <w:tab w:val="left" w:pos="3402"/>
        <w:tab w:val="left" w:pos="4536"/>
        <w:tab w:val="left" w:pos="5670"/>
        <w:tab w:val="left" w:pos="6804"/>
        <w:tab w:val="left" w:pos="7938"/>
      </w:tabs>
      <w:spacing w:line="240" w:lineRule="auto"/>
      <w:ind w:left="2268"/>
      <w:jc w:val="left"/>
    </w:pPr>
    <w:rPr>
      <w:kern w:val="0"/>
      <w:sz w:val="24"/>
      <w:szCs w:val="20"/>
    </w:rPr>
  </w:style>
  <w:style w:type="paragraph" w:customStyle="1" w:styleId="158">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5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黑体"/>
      <w:kern w:val="0"/>
      <w:sz w:val="20"/>
      <w:szCs w:val="20"/>
    </w:rPr>
  </w:style>
  <w:style w:type="paragraph" w:customStyle="1" w:styleId="160">
    <w:name w:val="xl62"/>
    <w:basedOn w:val="1"/>
    <w:uiPriority w:val="99"/>
    <w:pPr>
      <w:widowControl/>
      <w:spacing w:before="100" w:after="100"/>
      <w:jc w:val="center"/>
    </w:pPr>
    <w:rPr>
      <w:rFonts w:ascii="宋体" w:hAnsi="宋体"/>
      <w:kern w:val="0"/>
      <w:sz w:val="24"/>
    </w:rPr>
  </w:style>
  <w:style w:type="paragraph" w:customStyle="1" w:styleId="161">
    <w:name w:val="xl4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黑体"/>
      <w:color w:val="000000"/>
      <w:kern w:val="0"/>
      <w:sz w:val="20"/>
      <w:szCs w:val="20"/>
    </w:rPr>
  </w:style>
  <w:style w:type="paragraph" w:customStyle="1" w:styleId="162">
    <w:name w:val="xl5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黑体"/>
      <w:kern w:val="0"/>
      <w:sz w:val="24"/>
    </w:rPr>
  </w:style>
  <w:style w:type="paragraph" w:customStyle="1" w:styleId="16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黑体"/>
      <w:kern w:val="0"/>
      <w:sz w:val="20"/>
      <w:szCs w:val="20"/>
    </w:rPr>
  </w:style>
  <w:style w:type="paragraph" w:customStyle="1" w:styleId="164">
    <w:name w:val="xl63"/>
    <w:basedOn w:val="1"/>
    <w:qFormat/>
    <w:uiPriority w:val="99"/>
    <w:pPr>
      <w:widowControl/>
      <w:spacing w:before="100" w:after="100"/>
      <w:jc w:val="center"/>
      <w:textAlignment w:val="center"/>
    </w:pPr>
    <w:rPr>
      <w:kern w:val="0"/>
      <w:sz w:val="20"/>
    </w:rPr>
  </w:style>
  <w:style w:type="paragraph" w:customStyle="1" w:styleId="165">
    <w:name w:val="xl58"/>
    <w:basedOn w:val="1"/>
    <w:uiPriority w:val="99"/>
    <w:pPr>
      <w:widowControl/>
      <w:pBdr>
        <w:top w:val="single" w:color="auto" w:sz="4" w:space="0"/>
        <w:left w:val="single" w:color="auto" w:sz="4" w:space="0"/>
        <w:bottom w:val="single" w:color="auto" w:sz="4" w:space="0"/>
      </w:pBdr>
      <w:spacing w:before="100" w:after="100"/>
      <w:jc w:val="center"/>
      <w:textAlignment w:val="center"/>
    </w:pPr>
    <w:rPr>
      <w:rFonts w:ascii="宋体" w:hAnsi="宋体"/>
      <w:kern w:val="0"/>
      <w:sz w:val="20"/>
    </w:rPr>
  </w:style>
  <w:style w:type="paragraph" w:customStyle="1" w:styleId="166">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黑体"/>
      <w:color w:val="000000"/>
      <w:kern w:val="0"/>
      <w:sz w:val="20"/>
      <w:szCs w:val="20"/>
    </w:rPr>
  </w:style>
  <w:style w:type="paragraph" w:customStyle="1" w:styleId="167">
    <w:name w:val="xl5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68">
    <w:name w:val="table text"/>
    <w:basedOn w:val="1"/>
    <w:qFormat/>
    <w:uiPriority w:val="99"/>
    <w:pPr>
      <w:spacing w:line="240" w:lineRule="atLeast"/>
      <w:ind w:left="220" w:hanging="220" w:hangingChars="100"/>
    </w:pPr>
    <w:rPr>
      <w:sz w:val="22"/>
    </w:rPr>
  </w:style>
  <w:style w:type="paragraph" w:customStyle="1" w:styleId="169">
    <w:name w:val="xl52"/>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黑体"/>
      <w:kern w:val="0"/>
      <w:sz w:val="20"/>
      <w:szCs w:val="20"/>
    </w:rPr>
  </w:style>
  <w:style w:type="paragraph" w:customStyle="1" w:styleId="170">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黑体"/>
      <w:color w:val="000000"/>
      <w:kern w:val="0"/>
      <w:sz w:val="20"/>
      <w:szCs w:val="20"/>
    </w:rPr>
  </w:style>
  <w:style w:type="paragraph" w:customStyle="1" w:styleId="171">
    <w:name w:val="标题 31"/>
    <w:basedOn w:val="1"/>
    <w:next w:val="12"/>
    <w:qFormat/>
    <w:uiPriority w:val="99"/>
    <w:pPr>
      <w:keepNext/>
      <w:outlineLvl w:val="2"/>
    </w:pPr>
    <w:rPr>
      <w:b/>
      <w:szCs w:val="20"/>
    </w:rPr>
  </w:style>
  <w:style w:type="paragraph" w:customStyle="1" w:styleId="172">
    <w:name w:val="xl49"/>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黑体"/>
      <w:kern w:val="0"/>
      <w:sz w:val="24"/>
    </w:rPr>
  </w:style>
  <w:style w:type="paragraph" w:customStyle="1" w:styleId="173">
    <w:name w:val="xl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黑体"/>
      <w:color w:val="000000"/>
      <w:kern w:val="0"/>
      <w:sz w:val="20"/>
      <w:szCs w:val="20"/>
    </w:rPr>
  </w:style>
  <w:style w:type="paragraph" w:customStyle="1" w:styleId="174">
    <w:name w:val="xl50"/>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黑体"/>
      <w:kern w:val="0"/>
      <w:sz w:val="24"/>
    </w:rPr>
  </w:style>
  <w:style w:type="paragraph" w:customStyle="1" w:styleId="175">
    <w:name w:val="Char Char Char1 Char Char Char Char Char Char Char"/>
    <w:basedOn w:val="1"/>
    <w:qFormat/>
    <w:uiPriority w:val="99"/>
    <w:rPr>
      <w:rFonts w:ascii="Tahoma" w:hAnsi="Tahoma"/>
      <w:sz w:val="24"/>
      <w:szCs w:val="20"/>
    </w:rPr>
  </w:style>
  <w:style w:type="paragraph" w:customStyle="1" w:styleId="176">
    <w:name w:val="样式7"/>
    <w:basedOn w:val="1"/>
    <w:qFormat/>
    <w:uiPriority w:val="99"/>
    <w:pPr>
      <w:ind w:firstLine="425"/>
    </w:pPr>
    <w:rPr>
      <w:sz w:val="24"/>
    </w:rPr>
  </w:style>
  <w:style w:type="paragraph" w:customStyle="1" w:styleId="177">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78">
    <w:name w:val="xl64"/>
    <w:basedOn w:val="1"/>
    <w:qFormat/>
    <w:uiPriority w:val="99"/>
    <w:pPr>
      <w:widowControl/>
      <w:spacing w:before="100" w:after="100"/>
      <w:jc w:val="center"/>
      <w:textAlignment w:val="center"/>
    </w:pPr>
    <w:rPr>
      <w:rFonts w:ascii="宋体" w:hAnsi="宋体"/>
      <w:kern w:val="0"/>
      <w:sz w:val="24"/>
    </w:rPr>
  </w:style>
  <w:style w:type="paragraph" w:customStyle="1" w:styleId="179">
    <w:name w:val="xl59"/>
    <w:basedOn w:val="1"/>
    <w:qFormat/>
    <w:uiPriority w:val="99"/>
    <w:pPr>
      <w:widowControl/>
      <w:pBdr>
        <w:top w:val="single" w:color="auto" w:sz="4" w:space="0"/>
      </w:pBdr>
      <w:spacing w:before="100" w:after="100"/>
      <w:jc w:val="center"/>
    </w:pPr>
    <w:rPr>
      <w:kern w:val="0"/>
      <w:sz w:val="20"/>
    </w:rPr>
  </w:style>
  <w:style w:type="paragraph" w:customStyle="1" w:styleId="180">
    <w:name w:val="正文文本1"/>
    <w:basedOn w:val="1"/>
    <w:qFormat/>
    <w:uiPriority w:val="99"/>
    <w:pPr>
      <w:spacing w:after="120"/>
    </w:pPr>
    <w:rPr>
      <w:szCs w:val="20"/>
    </w:rPr>
  </w:style>
  <w:style w:type="paragraph" w:customStyle="1" w:styleId="181">
    <w:name w:val="Char1 Char Char Char Char Char1"/>
    <w:basedOn w:val="1"/>
    <w:qFormat/>
    <w:uiPriority w:val="99"/>
    <w:rPr>
      <w:rFonts w:ascii="Tahoma" w:hAnsi="Tahoma"/>
      <w:sz w:val="24"/>
      <w:szCs w:val="20"/>
    </w:rPr>
  </w:style>
  <w:style w:type="paragraph" w:customStyle="1" w:styleId="182">
    <w:name w:val="Char11"/>
    <w:basedOn w:val="1"/>
    <w:uiPriority w:val="99"/>
  </w:style>
  <w:style w:type="paragraph" w:customStyle="1" w:styleId="183">
    <w:name w:val="Char Char Char"/>
    <w:basedOn w:val="1"/>
    <w:qFormat/>
    <w:uiPriority w:val="99"/>
    <w:pPr>
      <w:widowControl/>
      <w:spacing w:after="160" w:line="240" w:lineRule="exact"/>
      <w:jc w:val="left"/>
    </w:pPr>
    <w:rPr>
      <w:szCs w:val="20"/>
    </w:rPr>
  </w:style>
  <w:style w:type="paragraph" w:customStyle="1" w:styleId="184">
    <w:name w:val="table text contents"/>
    <w:basedOn w:val="168"/>
    <w:uiPriority w:val="99"/>
    <w:pPr>
      <w:ind w:left="0" w:firstLine="0" w:firstLineChars="0"/>
      <w:jc w:val="center"/>
    </w:pPr>
  </w:style>
  <w:style w:type="paragraph" w:customStyle="1" w:styleId="185">
    <w:name w:val="列出段落1"/>
    <w:basedOn w:val="1"/>
    <w:qFormat/>
    <w:uiPriority w:val="99"/>
    <w:pPr>
      <w:ind w:firstLine="420" w:firstLineChars="200"/>
    </w:pPr>
    <w:rPr>
      <w:rFonts w:ascii="Calibri" w:hAnsi="Calibri"/>
      <w:szCs w:val="22"/>
    </w:rPr>
  </w:style>
  <w:style w:type="paragraph" w:customStyle="1" w:styleId="186">
    <w:name w:val="样式9"/>
    <w:basedOn w:val="1"/>
    <w:uiPriority w:val="99"/>
    <w:pPr>
      <w:ind w:firstLine="425"/>
    </w:pPr>
    <w:rPr>
      <w:sz w:val="24"/>
    </w:rPr>
  </w:style>
  <w:style w:type="paragraph" w:customStyle="1" w:styleId="187">
    <w:name w:val="默认段落字体 Para Char Char Char1 Char"/>
    <w:basedOn w:val="1"/>
    <w:qFormat/>
    <w:uiPriority w:val="99"/>
    <w:pPr>
      <w:spacing w:line="360" w:lineRule="auto"/>
      <w:ind w:left="420" w:firstLine="420"/>
    </w:pPr>
    <w:rPr>
      <w:kern w:val="0"/>
      <w:sz w:val="24"/>
      <w:szCs w:val="21"/>
    </w:rPr>
  </w:style>
  <w:style w:type="paragraph" w:customStyle="1" w:styleId="188">
    <w:name w:val="文档正文"/>
    <w:basedOn w:val="1"/>
    <w:qFormat/>
    <w:uiPriority w:val="99"/>
    <w:pPr>
      <w:adjustRightInd w:val="0"/>
      <w:spacing w:line="440" w:lineRule="atLeast"/>
      <w:ind w:firstLine="567"/>
      <w:textAlignment w:val="baseline"/>
    </w:pPr>
    <w:rPr>
      <w:rFonts w:ascii="宋体"/>
      <w:spacing w:val="4"/>
      <w:kern w:val="0"/>
      <w:sz w:val="24"/>
      <w:szCs w:val="20"/>
    </w:rPr>
  </w:style>
  <w:style w:type="paragraph" w:customStyle="1" w:styleId="189">
    <w:name w:val="Body Text 21"/>
    <w:basedOn w:val="1"/>
    <w:qFormat/>
    <w:uiPriority w:val="99"/>
    <w:pPr>
      <w:adjustRightInd w:val="0"/>
      <w:spacing w:after="240"/>
      <w:ind w:firstLine="560"/>
      <w:textAlignment w:val="baseline"/>
    </w:pPr>
    <w:rPr>
      <w:sz w:val="24"/>
      <w:szCs w:val="20"/>
    </w:rPr>
  </w:style>
  <w:style w:type="paragraph" w:customStyle="1" w:styleId="190">
    <w:name w:val="(a)items"/>
    <w:basedOn w:val="1"/>
    <w:uiPriority w:val="99"/>
    <w:pPr>
      <w:tabs>
        <w:tab w:val="left" w:pos="1980"/>
      </w:tabs>
      <w:adjustRightInd w:val="0"/>
      <w:spacing w:after="240"/>
      <w:ind w:left="1980" w:leftChars="680" w:hanging="348" w:hangingChars="145"/>
      <w:textAlignment w:val="baseline"/>
    </w:pPr>
    <w:rPr>
      <w:sz w:val="24"/>
      <w:szCs w:val="20"/>
    </w:rPr>
  </w:style>
  <w:style w:type="paragraph" w:customStyle="1" w:styleId="191">
    <w:name w:val="list closer"/>
    <w:basedOn w:val="146"/>
    <w:qFormat/>
    <w:uiPriority w:val="99"/>
    <w:pPr>
      <w:ind w:left="1200" w:leftChars="1200" w:hanging="1980" w:hangingChars="825"/>
    </w:pPr>
  </w:style>
  <w:style w:type="paragraph" w:customStyle="1" w:styleId="192">
    <w:name w:val="样式 标题 4 + 宋体"/>
    <w:basedOn w:val="5"/>
    <w:uiPriority w:val="99"/>
    <w:pPr>
      <w:widowControl/>
      <w:tabs>
        <w:tab w:val="left" w:pos="864"/>
      </w:tabs>
      <w:spacing w:before="0" w:after="120" w:line="240" w:lineRule="auto"/>
      <w:ind w:left="2477" w:hanging="1077"/>
    </w:pPr>
    <w:rPr>
      <w:rFonts w:ascii="宋体" w:hAnsi="宋体" w:eastAsia="宋体"/>
      <w:b w:val="0"/>
      <w:bCs w:val="0"/>
      <w:kern w:val="0"/>
      <w:sz w:val="24"/>
    </w:rPr>
  </w:style>
  <w:style w:type="paragraph" w:customStyle="1" w:styleId="193">
    <w:name w:val="样式 标题 1 + 宋体 居中 段前: 48 磅 段后: 12 磅 行距: 1.5 倍行距"/>
    <w:basedOn w:val="2"/>
    <w:qFormat/>
    <w:uiPriority w:val="99"/>
    <w:pPr>
      <w:adjustRightInd w:val="0"/>
      <w:spacing w:line="360" w:lineRule="auto"/>
      <w:jc w:val="center"/>
      <w:textAlignment w:val="baseline"/>
    </w:pPr>
    <w:rPr>
      <w:rFonts w:ascii="宋体" w:hAnsi="宋体" w:eastAsia="黑体" w:cs="宋体"/>
      <w:b/>
      <w:bCs/>
      <w:sz w:val="32"/>
      <w:szCs w:val="32"/>
      <w:lang w:val="zh-CN"/>
    </w:rPr>
  </w:style>
  <w:style w:type="paragraph" w:styleId="194">
    <w:name w:val="List Paragraph"/>
    <w:basedOn w:val="1"/>
    <w:qFormat/>
    <w:uiPriority w:val="99"/>
    <w:pPr>
      <w:ind w:firstLine="420" w:firstLineChars="200"/>
    </w:pPr>
  </w:style>
  <w:style w:type="paragraph" w:customStyle="1" w:styleId="195">
    <w:name w:val="Z5"/>
    <w:basedOn w:val="1"/>
    <w:qFormat/>
    <w:uiPriority w:val="99"/>
    <w:pPr>
      <w:autoSpaceDE w:val="0"/>
      <w:autoSpaceDN w:val="0"/>
      <w:adjustRightInd w:val="0"/>
      <w:spacing w:line="360" w:lineRule="auto"/>
      <w:ind w:firstLine="420" w:firstLineChars="200"/>
      <w:jc w:val="left"/>
    </w:pPr>
    <w:rPr>
      <w:rFonts w:ascii="宋体" w:hAnsi="Calibri" w:cs="宋体"/>
      <w:kern w:val="0"/>
      <w:szCs w:val="21"/>
    </w:rPr>
  </w:style>
  <w:style w:type="paragraph" w:customStyle="1" w:styleId="196">
    <w:name w:val="Normal_15"/>
    <w:qFormat/>
    <w:uiPriority w:val="0"/>
    <w:pPr>
      <w:spacing w:before="120" w:after="240"/>
      <w:jc w:val="both"/>
    </w:pPr>
    <w:rPr>
      <w:rFonts w:ascii="Calibri" w:hAnsi="Calibri" w:eastAsia="宋体" w:cs="Times New Roman"/>
      <w:kern w:val="0"/>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3068</Words>
  <Characters>17492</Characters>
  <Lines>145</Lines>
  <Paragraphs>41</Paragraphs>
  <TotalTime>4</TotalTime>
  <ScaleCrop>false</ScaleCrop>
  <LinksUpToDate>false</LinksUpToDate>
  <CharactersWithSpaces>20519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2020-07-22T07:56:00Z</dcterms:created>
  <dc:creator>1122</dc:creator>
  <cp:lastModifiedBy>悦悦妈</cp:lastModifiedBy>
  <cp:lastPrinted>2020-09-18T02:32:00Z</cp:lastPrinted>
  <dcterms:modified xsi:type="dcterms:W3CDTF">2020-09-22T07:57:04Z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