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6"/>
          <w:szCs w:val="36"/>
        </w:rPr>
      </w:pPr>
      <w:r>
        <w:rPr>
          <w:rFonts w:hint="eastAsia" w:ascii="黑体" w:hAnsi="黑体" w:eastAsia="黑体" w:cs="黑体"/>
          <w:b/>
          <w:sz w:val="36"/>
          <w:szCs w:val="36"/>
        </w:rPr>
        <w:t>扬州泰州国际机场车辆轮胎采购项目招标文件</w:t>
      </w:r>
    </w:p>
    <w:p>
      <w:pPr>
        <w:ind w:firstLine="468" w:firstLineChars="195"/>
        <w:jc w:val="left"/>
        <w:rPr>
          <w:rFonts w:hint="eastAsia" w:ascii="宋体" w:hAnsi="宋体" w:eastAsia="宋体" w:cs="宋体"/>
          <w:sz w:val="24"/>
          <w:szCs w:val="24"/>
        </w:rPr>
      </w:pPr>
      <w:r>
        <w:rPr>
          <w:rFonts w:hint="eastAsia" w:ascii="宋体" w:hAnsi="宋体" w:eastAsia="宋体" w:cs="宋体"/>
          <w:sz w:val="24"/>
          <w:szCs w:val="24"/>
        </w:rPr>
        <w:t>扬州泰州国际机场投资建设有限责任公司采用自主招标方式采购车辆轮胎一批，现邀请有意向且满足基本资质要求的投标人参加，为统一投标文件的编制标准，明确如下事项：</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一、项目内容</w:t>
      </w:r>
    </w:p>
    <w:p>
      <w:pPr>
        <w:numPr>
          <w:ilvl w:val="0"/>
          <w:numId w:val="0"/>
        </w:numPr>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1.招标内容：车辆轮胎，约212条（规格不同）</w:t>
      </w:r>
    </w:p>
    <w:p>
      <w:pPr>
        <w:numPr>
          <w:ilvl w:val="0"/>
          <w:numId w:val="0"/>
        </w:numPr>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2.控制价25万元</w:t>
      </w:r>
      <w:r>
        <w:rPr>
          <w:rFonts w:hint="eastAsia" w:ascii="宋体" w:hAnsi="宋体" w:eastAsia="宋体" w:cs="宋体"/>
          <w:sz w:val="24"/>
          <w:szCs w:val="24"/>
          <w:lang w:eastAsia="zh-CN"/>
        </w:rPr>
        <w:t>（含税）</w:t>
      </w:r>
      <w:r>
        <w:rPr>
          <w:rFonts w:hint="eastAsia" w:ascii="宋体" w:hAnsi="宋体" w:eastAsia="宋体" w:cs="宋体"/>
          <w:sz w:val="24"/>
          <w:szCs w:val="24"/>
        </w:rPr>
        <w:t>，中标后，招标人可选择分批次采购，并有权根据实际需要调准数量，上下浮动不超过±10％，中标人应无条件满足。</w:t>
      </w:r>
    </w:p>
    <w:p>
      <w:pPr>
        <w:numPr>
          <w:ilvl w:val="0"/>
          <w:numId w:val="0"/>
        </w:numPr>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3.供货期：1年内根据甲方需求分批次供货。</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二、合格投标人资格要求</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1.投标人须为注册资本不小于50万元人民币的独立法人，营业执照经营范围汽车维修单位或经营汽车轮胎销售内容。（提供营业执照复印件并加盖公章）</w:t>
      </w:r>
    </w:p>
    <w:p>
      <w:pPr>
        <w:ind w:firstLine="240" w:firstLineChars="100"/>
        <w:rPr>
          <w:rFonts w:hint="eastAsia" w:ascii="宋体" w:hAnsi="宋体" w:eastAsia="宋体" w:cs="宋体"/>
          <w:sz w:val="24"/>
          <w:szCs w:val="24"/>
        </w:rPr>
      </w:pPr>
      <w:r>
        <w:rPr>
          <w:rFonts w:hint="default" w:ascii="宋体" w:hAnsi="宋体" w:eastAsia="宋体" w:cs="宋体"/>
          <w:sz w:val="24"/>
          <w:szCs w:val="24"/>
        </w:rPr>
        <w:t>2</w:t>
      </w:r>
      <w:r>
        <w:rPr>
          <w:rFonts w:hint="eastAsia" w:ascii="宋体" w:hAnsi="宋体" w:eastAsia="宋体" w:cs="宋体"/>
          <w:sz w:val="24"/>
          <w:szCs w:val="24"/>
        </w:rPr>
        <w:t>.有依法缴纳税收和社会保障资金的良好记录。（提供投标截止日前6个月任意</w:t>
      </w:r>
      <w:r>
        <w:rPr>
          <w:rFonts w:hint="default" w:ascii="宋体" w:hAnsi="宋体" w:eastAsia="宋体" w:cs="宋体"/>
          <w:sz w:val="24"/>
          <w:szCs w:val="24"/>
          <w:lang w:val="en-US"/>
        </w:rPr>
        <w:t>1</w:t>
      </w:r>
      <w:r>
        <w:rPr>
          <w:rFonts w:hint="eastAsia" w:ascii="宋体" w:hAnsi="宋体" w:eastAsia="宋体" w:cs="宋体"/>
          <w:sz w:val="24"/>
          <w:szCs w:val="24"/>
        </w:rPr>
        <w:t>个月依法缴纳税收和社会保障资金的相关材料。如依法免税或不需要缴纳社会保障资金的，提供相应证明材料）</w:t>
      </w:r>
    </w:p>
    <w:p>
      <w:pPr>
        <w:ind w:firstLine="240" w:firstLineChars="100"/>
        <w:rPr>
          <w:rFonts w:hint="eastAsia" w:ascii="宋体" w:hAnsi="宋体" w:eastAsia="宋体" w:cs="宋体"/>
          <w:sz w:val="24"/>
          <w:szCs w:val="24"/>
        </w:rPr>
      </w:pPr>
      <w:r>
        <w:rPr>
          <w:rFonts w:hint="default" w:ascii="宋体" w:hAnsi="宋体" w:eastAsia="宋体" w:cs="宋体"/>
          <w:sz w:val="24"/>
          <w:szCs w:val="24"/>
        </w:rPr>
        <w:t>3.</w:t>
      </w:r>
      <w:r>
        <w:rPr>
          <w:rFonts w:hint="eastAsia" w:ascii="宋体" w:hAnsi="宋体" w:eastAsia="宋体" w:cs="宋体"/>
          <w:sz w:val="24"/>
          <w:szCs w:val="24"/>
        </w:rPr>
        <w:t>本项目不接受联合体投标。</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三、设备/物资清单及技术要求</w:t>
      </w:r>
    </w:p>
    <w:p>
      <w:pPr>
        <w:numPr>
          <w:ilvl w:val="0"/>
          <w:numId w:val="0"/>
        </w:numPr>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详见附件一</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四、评标方法</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1.评审办法：综合评估法</w:t>
      </w:r>
    </w:p>
    <w:tbl>
      <w:tblPr>
        <w:tblStyle w:val="3"/>
        <w:tblW w:w="85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1463"/>
        <w:gridCol w:w="5686"/>
        <w:gridCol w:w="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33" w:type="dxa"/>
            <w:gridSpan w:val="2"/>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评审项目</w:t>
            </w:r>
          </w:p>
        </w:tc>
        <w:tc>
          <w:tcPr>
            <w:tcW w:w="5686"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评分要求</w:t>
            </w:r>
          </w:p>
        </w:tc>
        <w:tc>
          <w:tcPr>
            <w:tcW w:w="801" w:type="dxa"/>
            <w:vAlign w:val="center"/>
          </w:tcPr>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trPr>
        <w:tc>
          <w:tcPr>
            <w:tcW w:w="570"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1</w:t>
            </w:r>
          </w:p>
        </w:tc>
        <w:tc>
          <w:tcPr>
            <w:tcW w:w="1463" w:type="dxa"/>
            <w:vAlign w:val="center"/>
          </w:tcPr>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价格（</w:t>
            </w:r>
            <w:r>
              <w:rPr>
                <w:rFonts w:hint="default" w:ascii="宋体" w:hAnsi="宋体" w:eastAsia="宋体" w:cs="宋体"/>
                <w:sz w:val="24"/>
                <w:szCs w:val="24"/>
              </w:rPr>
              <w:t>50</w:t>
            </w:r>
            <w:r>
              <w:rPr>
                <w:rFonts w:hint="eastAsia" w:ascii="宋体" w:hAnsi="宋体" w:eastAsia="宋体" w:cs="宋体"/>
                <w:sz w:val="24"/>
                <w:szCs w:val="24"/>
              </w:rPr>
              <w:t>分）</w:t>
            </w:r>
          </w:p>
        </w:tc>
        <w:tc>
          <w:tcPr>
            <w:tcW w:w="5686" w:type="dxa"/>
            <w:vAlign w:val="center"/>
          </w:tcPr>
          <w:p>
            <w:pPr>
              <w:numPr>
                <w:ilvl w:val="0"/>
                <w:numId w:val="0"/>
              </w:numPr>
              <w:ind w:right="0" w:firstLine="0"/>
              <w:jc w:val="both"/>
              <w:rPr>
                <w:rFonts w:hint="default" w:ascii="宋体" w:hAnsi="宋体" w:eastAsia="宋体" w:cs="宋体"/>
                <w:sz w:val="24"/>
                <w:szCs w:val="24"/>
              </w:rPr>
            </w:pPr>
            <w:r>
              <w:rPr>
                <w:rFonts w:hint="eastAsia" w:ascii="宋体" w:hAnsi="宋体" w:eastAsia="宋体" w:cs="宋体"/>
                <w:sz w:val="24"/>
                <w:szCs w:val="24"/>
              </w:rPr>
              <w:t>采用低价优先法计算，即满足招标文件要求且投标价格最低的投标报价为评标基准价，其价格分为满分。其他投标人的价格分统一按照下列公式计算：投标报价得分＝（评标基准价/投标报价）×100×</w:t>
            </w:r>
            <w:r>
              <w:rPr>
                <w:rFonts w:hint="default" w:ascii="宋体" w:hAnsi="宋体" w:eastAsia="宋体" w:cs="宋体"/>
                <w:sz w:val="24"/>
                <w:szCs w:val="24"/>
              </w:rPr>
              <w:t>50</w:t>
            </w:r>
            <w:r>
              <w:rPr>
                <w:rFonts w:hint="eastAsia" w:ascii="宋体" w:hAnsi="宋体" w:eastAsia="宋体" w:cs="宋体"/>
                <w:sz w:val="24"/>
                <w:szCs w:val="24"/>
              </w:rPr>
              <w:t>％</w:t>
            </w:r>
          </w:p>
        </w:tc>
        <w:tc>
          <w:tcPr>
            <w:tcW w:w="801" w:type="dxa"/>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0"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2</w:t>
            </w:r>
          </w:p>
        </w:tc>
        <w:tc>
          <w:tcPr>
            <w:tcW w:w="1463" w:type="dxa"/>
            <w:vAlign w:val="center"/>
          </w:tcPr>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商务(</w:t>
            </w:r>
            <w:r>
              <w:rPr>
                <w:rFonts w:hint="default" w:ascii="宋体" w:hAnsi="宋体" w:eastAsia="宋体" w:cs="宋体"/>
                <w:sz w:val="24"/>
                <w:szCs w:val="24"/>
              </w:rPr>
              <w:t>20</w:t>
            </w:r>
            <w:r>
              <w:rPr>
                <w:rFonts w:hint="eastAsia" w:ascii="宋体" w:hAnsi="宋体" w:eastAsia="宋体" w:cs="宋体"/>
                <w:sz w:val="24"/>
                <w:szCs w:val="24"/>
              </w:rPr>
              <w:t>分)</w:t>
            </w:r>
          </w:p>
        </w:tc>
        <w:tc>
          <w:tcPr>
            <w:tcW w:w="5686" w:type="dxa"/>
            <w:vAlign w:val="center"/>
          </w:tcPr>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根据投标人2016年1月1日以来的同类项目业绩评分，每有1个合同金额20万元（含）以上业绩得</w:t>
            </w:r>
            <w:r>
              <w:rPr>
                <w:rFonts w:hint="default" w:ascii="宋体" w:hAnsi="宋体" w:eastAsia="宋体" w:cs="宋体"/>
                <w:sz w:val="24"/>
                <w:szCs w:val="24"/>
              </w:rPr>
              <w:t>2</w:t>
            </w:r>
            <w:r>
              <w:rPr>
                <w:rFonts w:hint="eastAsia" w:ascii="宋体" w:hAnsi="宋体" w:eastAsia="宋体" w:cs="宋体"/>
                <w:sz w:val="24"/>
                <w:szCs w:val="24"/>
              </w:rPr>
              <w:t>分，满分</w:t>
            </w:r>
            <w:r>
              <w:rPr>
                <w:rFonts w:hint="default" w:ascii="宋体" w:hAnsi="宋体" w:eastAsia="宋体" w:cs="宋体"/>
                <w:sz w:val="24"/>
                <w:szCs w:val="24"/>
              </w:rPr>
              <w:t>20</w:t>
            </w:r>
            <w:r>
              <w:rPr>
                <w:rFonts w:hint="eastAsia" w:ascii="宋体" w:hAnsi="宋体" w:eastAsia="宋体" w:cs="宋体"/>
                <w:sz w:val="24"/>
                <w:szCs w:val="24"/>
              </w:rPr>
              <w:t>分（合同原件备查）。</w:t>
            </w:r>
          </w:p>
        </w:tc>
        <w:tc>
          <w:tcPr>
            <w:tcW w:w="801" w:type="dxa"/>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9" w:hRule="atLeast"/>
        </w:trPr>
        <w:tc>
          <w:tcPr>
            <w:tcW w:w="570" w:type="dxa"/>
            <w:vAlign w:val="center"/>
          </w:tcPr>
          <w:p>
            <w:pPr>
              <w:numPr>
                <w:ilvl w:val="0"/>
                <w:numId w:val="0"/>
              </w:numPr>
              <w:ind w:right="0" w:firstLine="0"/>
              <w:jc w:val="center"/>
              <w:rPr>
                <w:rFonts w:hint="eastAsia" w:ascii="宋体" w:hAnsi="宋体" w:eastAsia="宋体" w:cs="宋体"/>
                <w:sz w:val="24"/>
                <w:szCs w:val="24"/>
              </w:rPr>
            </w:pPr>
            <w:r>
              <w:rPr>
                <w:rFonts w:hint="default" w:ascii="宋体" w:hAnsi="宋体" w:eastAsia="宋体" w:cs="宋体"/>
                <w:sz w:val="24"/>
                <w:szCs w:val="24"/>
              </w:rPr>
              <w:t>3</w:t>
            </w:r>
          </w:p>
        </w:tc>
        <w:tc>
          <w:tcPr>
            <w:tcW w:w="1463" w:type="dxa"/>
            <w:vAlign w:val="center"/>
          </w:tcPr>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服务（</w:t>
            </w:r>
            <w:r>
              <w:rPr>
                <w:rFonts w:hint="default" w:ascii="宋体" w:hAnsi="宋体" w:eastAsia="宋体" w:cs="宋体"/>
                <w:sz w:val="24"/>
                <w:szCs w:val="24"/>
              </w:rPr>
              <w:t>3</w:t>
            </w:r>
            <w:r>
              <w:rPr>
                <w:rFonts w:hint="eastAsia" w:ascii="宋体" w:hAnsi="宋体" w:eastAsia="宋体" w:cs="宋体"/>
                <w:sz w:val="24"/>
                <w:szCs w:val="24"/>
              </w:rPr>
              <w:t>0分）</w:t>
            </w:r>
          </w:p>
        </w:tc>
        <w:tc>
          <w:tcPr>
            <w:tcW w:w="5686" w:type="dxa"/>
            <w:vAlign w:val="center"/>
          </w:tcPr>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根据投标人提供的服务及时性，突发情况响应等承诺打分。</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（卖方在接到供货通知后1小时内到达买方现场得</w:t>
            </w:r>
            <w:r>
              <w:rPr>
                <w:rFonts w:hint="default" w:ascii="宋体" w:hAnsi="宋体" w:eastAsia="宋体" w:cs="宋体"/>
                <w:sz w:val="24"/>
                <w:szCs w:val="24"/>
              </w:rPr>
              <w:t>3</w:t>
            </w:r>
            <w:r>
              <w:rPr>
                <w:rFonts w:hint="eastAsia" w:ascii="宋体" w:hAnsi="宋体" w:eastAsia="宋体" w:cs="宋体"/>
                <w:sz w:val="24"/>
                <w:szCs w:val="24"/>
              </w:rPr>
              <w:t>0分，2小时内到达得</w:t>
            </w:r>
            <w:r>
              <w:rPr>
                <w:rFonts w:hint="default" w:ascii="宋体" w:hAnsi="宋体" w:eastAsia="宋体" w:cs="宋体"/>
                <w:sz w:val="24"/>
                <w:szCs w:val="24"/>
              </w:rPr>
              <w:t>20</w:t>
            </w:r>
            <w:r>
              <w:rPr>
                <w:rFonts w:hint="eastAsia" w:ascii="宋体" w:hAnsi="宋体" w:eastAsia="宋体" w:cs="宋体"/>
                <w:sz w:val="24"/>
                <w:szCs w:val="24"/>
              </w:rPr>
              <w:t>分，3小时内到达得</w:t>
            </w:r>
            <w:r>
              <w:rPr>
                <w:rFonts w:hint="default" w:ascii="宋体" w:hAnsi="宋体" w:eastAsia="宋体" w:cs="宋体"/>
                <w:sz w:val="24"/>
                <w:szCs w:val="24"/>
              </w:rPr>
              <w:t>10</w:t>
            </w:r>
            <w:r>
              <w:rPr>
                <w:rFonts w:hint="eastAsia" w:ascii="宋体" w:hAnsi="宋体" w:eastAsia="宋体" w:cs="宋体"/>
                <w:sz w:val="24"/>
                <w:szCs w:val="24"/>
              </w:rPr>
              <w:t>分，3小时以后不得分）</w:t>
            </w:r>
          </w:p>
        </w:tc>
        <w:tc>
          <w:tcPr>
            <w:tcW w:w="801" w:type="dxa"/>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0"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合计</w:t>
            </w:r>
          </w:p>
        </w:tc>
        <w:tc>
          <w:tcPr>
            <w:tcW w:w="1463" w:type="dxa"/>
            <w:vAlign w:val="center"/>
          </w:tcPr>
          <w:p>
            <w:pPr>
              <w:numPr>
                <w:ilvl w:val="0"/>
                <w:numId w:val="0"/>
              </w:numPr>
              <w:ind w:right="0" w:firstLine="0"/>
              <w:jc w:val="left"/>
              <w:rPr>
                <w:rFonts w:hint="eastAsia" w:ascii="宋体" w:hAnsi="宋体" w:eastAsia="宋体" w:cs="宋体"/>
                <w:sz w:val="24"/>
                <w:szCs w:val="24"/>
              </w:rPr>
            </w:pPr>
          </w:p>
        </w:tc>
        <w:tc>
          <w:tcPr>
            <w:tcW w:w="5686" w:type="dxa"/>
            <w:vAlign w:val="center"/>
          </w:tcPr>
          <w:p>
            <w:pPr>
              <w:numPr>
                <w:ilvl w:val="0"/>
                <w:numId w:val="0"/>
              </w:numPr>
              <w:ind w:right="0" w:firstLine="0"/>
              <w:jc w:val="left"/>
              <w:rPr>
                <w:rFonts w:hint="eastAsia" w:ascii="宋体" w:hAnsi="宋体" w:eastAsia="宋体" w:cs="宋体"/>
                <w:sz w:val="24"/>
                <w:szCs w:val="24"/>
              </w:rPr>
            </w:pPr>
          </w:p>
        </w:tc>
        <w:tc>
          <w:tcPr>
            <w:tcW w:w="801" w:type="dxa"/>
            <w:vAlign w:val="center"/>
          </w:tcPr>
          <w:p>
            <w:pPr>
              <w:numPr>
                <w:ilvl w:val="0"/>
                <w:numId w:val="0"/>
              </w:numPr>
              <w:ind w:right="0" w:firstLine="0"/>
              <w:jc w:val="left"/>
              <w:rPr>
                <w:rFonts w:hint="eastAsia" w:ascii="宋体" w:hAnsi="宋体" w:eastAsia="宋体" w:cs="宋体"/>
                <w:sz w:val="24"/>
                <w:szCs w:val="24"/>
              </w:rPr>
            </w:pPr>
          </w:p>
        </w:tc>
      </w:tr>
    </w:tbl>
    <w:p>
      <w:pPr>
        <w:numPr>
          <w:ilvl w:val="0"/>
          <w:numId w:val="0"/>
        </w:numPr>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2.投标文件有下述情形之一的，视为未能对招标文件作出实质性响应，作为无效投标文件处理：</w:t>
      </w:r>
    </w:p>
    <w:p>
      <w:pPr>
        <w:numPr>
          <w:ilvl w:val="0"/>
          <w:numId w:val="0"/>
        </w:numPr>
        <w:ind w:right="0" w:firstLine="240"/>
        <w:jc w:val="left"/>
        <w:rPr>
          <w:rFonts w:hint="eastAsia" w:ascii="宋体" w:hAnsi="宋体" w:eastAsia="宋体" w:cs="宋体"/>
          <w:sz w:val="24"/>
          <w:szCs w:val="24"/>
        </w:rPr>
      </w:pPr>
      <w:r>
        <w:rPr>
          <w:rFonts w:hint="eastAsia" w:ascii="宋体" w:hAnsi="宋体" w:eastAsia="宋体" w:cs="宋体"/>
          <w:sz w:val="24"/>
          <w:szCs w:val="24"/>
        </w:rPr>
        <w:t>(1)不满足合格投标人资格要求的。</w:t>
      </w:r>
    </w:p>
    <w:p>
      <w:pPr>
        <w:numPr>
          <w:ilvl w:val="0"/>
          <w:numId w:val="0"/>
        </w:numPr>
        <w:ind w:firstLine="240"/>
        <w:jc w:val="left"/>
        <w:rPr>
          <w:rFonts w:hint="eastAsia" w:ascii="宋体" w:hAnsi="宋体" w:eastAsia="宋体" w:cs="宋体"/>
          <w:sz w:val="24"/>
          <w:szCs w:val="24"/>
        </w:rPr>
      </w:pPr>
      <w:r>
        <w:rPr>
          <w:rFonts w:hint="eastAsia" w:ascii="宋体" w:hAnsi="宋体" w:eastAsia="宋体" w:cs="宋体"/>
          <w:sz w:val="24"/>
          <w:szCs w:val="24"/>
        </w:rPr>
        <w:t>(2)投标文件中的报价函未加盖投标人的公章的。</w:t>
      </w:r>
    </w:p>
    <w:p>
      <w:pPr>
        <w:numPr>
          <w:ilvl w:val="0"/>
          <w:numId w:val="0"/>
        </w:numPr>
        <w:ind w:firstLine="240"/>
        <w:jc w:val="left"/>
        <w:rPr>
          <w:rFonts w:hint="eastAsia" w:ascii="宋体" w:hAnsi="宋体" w:eastAsia="宋体" w:cs="宋体"/>
          <w:sz w:val="24"/>
          <w:szCs w:val="24"/>
        </w:rPr>
      </w:pPr>
      <w:r>
        <w:rPr>
          <w:rFonts w:hint="eastAsia" w:ascii="宋体" w:hAnsi="宋体" w:eastAsia="宋体" w:cs="宋体"/>
          <w:sz w:val="24"/>
          <w:szCs w:val="24"/>
        </w:rPr>
        <w:t>(3)未按招标文件规定的格式填写，内容不全或关键内容字迹模糊、无法辨认的。</w:t>
      </w:r>
    </w:p>
    <w:p>
      <w:pPr>
        <w:numPr>
          <w:ilvl w:val="0"/>
          <w:numId w:val="0"/>
        </w:numPr>
        <w:ind w:firstLine="240"/>
        <w:jc w:val="left"/>
        <w:rPr>
          <w:rFonts w:hint="eastAsia" w:ascii="宋体" w:hAnsi="宋体" w:eastAsia="宋体" w:cs="宋体"/>
          <w:sz w:val="24"/>
          <w:szCs w:val="24"/>
        </w:rPr>
      </w:pPr>
      <w:r>
        <w:rPr>
          <w:rFonts w:hint="eastAsia" w:ascii="宋体" w:hAnsi="宋体" w:eastAsia="宋体" w:cs="宋体"/>
          <w:sz w:val="24"/>
          <w:szCs w:val="24"/>
        </w:rPr>
        <w:t>(4)投标人移交多份内容不同的投标文件，或对同一项目报有两个或多个报价的。</w:t>
      </w:r>
    </w:p>
    <w:p>
      <w:pPr>
        <w:numPr>
          <w:ilvl w:val="0"/>
          <w:numId w:val="0"/>
        </w:numPr>
        <w:ind w:right="0" w:firstLine="240"/>
        <w:jc w:val="left"/>
        <w:rPr>
          <w:rFonts w:hint="eastAsia" w:ascii="宋体" w:hAnsi="宋体" w:eastAsia="宋体" w:cs="宋体"/>
          <w:sz w:val="24"/>
          <w:szCs w:val="24"/>
        </w:rPr>
      </w:pPr>
      <w:r>
        <w:rPr>
          <w:rFonts w:hint="eastAsia" w:ascii="宋体" w:hAnsi="宋体" w:eastAsia="宋体" w:cs="宋体"/>
          <w:sz w:val="24"/>
          <w:szCs w:val="24"/>
        </w:rPr>
        <w:t>（5）未满足招标文件技术要求中任意一条条款的。</w:t>
      </w:r>
    </w:p>
    <w:p>
      <w:pPr>
        <w:numPr>
          <w:ilvl w:val="0"/>
          <w:numId w:val="0"/>
        </w:numPr>
        <w:ind w:right="0" w:firstLine="240"/>
        <w:jc w:val="left"/>
        <w:rPr>
          <w:rFonts w:hint="eastAsia" w:ascii="宋体" w:hAnsi="宋体" w:eastAsia="宋体" w:cs="宋体"/>
          <w:sz w:val="24"/>
          <w:szCs w:val="24"/>
        </w:rPr>
      </w:pPr>
      <w:r>
        <w:rPr>
          <w:rFonts w:hint="eastAsia" w:ascii="宋体" w:hAnsi="宋体" w:eastAsia="宋体" w:cs="宋体"/>
          <w:sz w:val="24"/>
          <w:szCs w:val="24"/>
        </w:rPr>
        <w:t>（6）未完全响应招标文件合同条款格式内容的。</w:t>
      </w:r>
    </w:p>
    <w:p>
      <w:pPr>
        <w:numPr>
          <w:ilvl w:val="0"/>
          <w:numId w:val="0"/>
        </w:numPr>
        <w:ind w:right="0" w:firstLine="240"/>
        <w:jc w:val="left"/>
        <w:rPr>
          <w:rFonts w:hint="eastAsia" w:ascii="宋体" w:hAnsi="宋体" w:eastAsia="宋体" w:cs="宋体"/>
          <w:sz w:val="24"/>
          <w:szCs w:val="24"/>
        </w:rPr>
      </w:pPr>
      <w:r>
        <w:rPr>
          <w:rFonts w:hint="eastAsia" w:ascii="宋体" w:hAnsi="宋体" w:eastAsia="宋体" w:cs="宋体"/>
          <w:sz w:val="24"/>
          <w:szCs w:val="24"/>
        </w:rPr>
        <w:t>（7）不同投标人的投标文件出现了评审委员会认为不应当雷同的情况。</w:t>
      </w:r>
    </w:p>
    <w:p>
      <w:pPr>
        <w:numPr>
          <w:ilvl w:val="0"/>
          <w:numId w:val="0"/>
        </w:numPr>
        <w:ind w:right="0" w:firstLine="240"/>
        <w:jc w:val="left"/>
        <w:rPr>
          <w:rFonts w:hint="eastAsia" w:ascii="宋体" w:hAnsi="宋体" w:eastAsia="宋体" w:cs="宋体"/>
          <w:sz w:val="24"/>
          <w:szCs w:val="24"/>
        </w:rPr>
      </w:pPr>
      <w:r>
        <w:rPr>
          <w:rFonts w:hint="eastAsia" w:ascii="宋体" w:hAnsi="宋体" w:eastAsia="宋体" w:cs="宋体"/>
          <w:sz w:val="24"/>
          <w:szCs w:val="24"/>
        </w:rPr>
        <w:t>（8）经评审委员会认定投标人的报价低于成本价的。</w:t>
      </w:r>
    </w:p>
    <w:p>
      <w:pPr>
        <w:numPr>
          <w:ilvl w:val="0"/>
          <w:numId w:val="0"/>
        </w:numPr>
        <w:ind w:right="0" w:firstLine="240"/>
        <w:jc w:val="left"/>
        <w:rPr>
          <w:rFonts w:hint="eastAsia" w:ascii="宋体" w:hAnsi="宋体" w:eastAsia="宋体" w:cs="宋体"/>
          <w:sz w:val="24"/>
          <w:szCs w:val="24"/>
        </w:rPr>
      </w:pPr>
      <w:r>
        <w:rPr>
          <w:rFonts w:hint="eastAsia" w:ascii="宋体" w:hAnsi="宋体" w:eastAsia="宋体" w:cs="宋体"/>
          <w:sz w:val="24"/>
          <w:szCs w:val="24"/>
        </w:rPr>
        <w:t>（9）超过项目招标限价的（如有）。</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五、中标及合同授予</w:t>
      </w:r>
    </w:p>
    <w:p>
      <w:pPr>
        <w:numPr>
          <w:ilvl w:val="0"/>
          <w:numId w:val="0"/>
        </w:numPr>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1.确定中标人后，招标人以电话通知方式或书面方式通知中标人，并签订具体的采购合同，未接到中标通知的单位视为不中标，招标人没有义务解释不中标原因。</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中标单位如在项目实施时，违反了国家法律法规或严重违反招标方公司相关规定，以及产品、服务质量差，不符合招标方要求的，招标人可终止合同，取消该单位中标人资格，并没收全部履约保证金（如有）。招标方可通知第二候选单位中标。</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3.招标人一旦发现投标人的投标文件中资质证明等材料文件造假，有权取消该投标人的中标资格并没收投标保证金及合同履约保证金（如有），且该投标人将被列入不诚信单位名单。</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4.非招标人原因中标人拒签合同或中标人严重违约的，该中标人将被列入不诚信单位名单。</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5.被列入不诚信单位名单的单位，招标人有权拒绝该单位之后其它项目的投标。</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六、合同条款格式</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详见附件二</w:t>
      </w:r>
    </w:p>
    <w:p>
      <w:pPr>
        <w:numPr>
          <w:ilvl w:val="0"/>
          <w:numId w:val="0"/>
        </w:numPr>
        <w:ind w:right="0"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七、投标文件的递交</w:t>
      </w:r>
    </w:p>
    <w:p>
      <w:pPr>
        <w:numPr>
          <w:ilvl w:val="0"/>
          <w:numId w:val="0"/>
        </w:numPr>
        <w:ind w:right="0"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1.投标文件组成：详见附件三</w:t>
      </w:r>
    </w:p>
    <w:p>
      <w:pPr>
        <w:numPr>
          <w:ilvl w:val="0"/>
          <w:numId w:val="0"/>
        </w:numPr>
        <w:ind w:right="0"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2.投标文件一式三份（正本一份、副本二份），并明确标明“正本”和“副本”，正、副本如有不同之处，以正本为准。密封后加盖公章，否则无效。</w:t>
      </w:r>
    </w:p>
    <w:p>
      <w:pPr>
        <w:numPr>
          <w:ilvl w:val="0"/>
          <w:numId w:val="0"/>
        </w:numPr>
        <w:ind w:right="0"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3.投标人在收到招标文件后，若需答疑，应以书面形式在投标文件的截止时间3天前向招标人提出。</w:t>
      </w:r>
    </w:p>
    <w:p>
      <w:pPr>
        <w:numPr>
          <w:ilvl w:val="0"/>
          <w:numId w:val="0"/>
        </w:numPr>
        <w:ind w:right="0" w:firstLine="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4.开标前须将投标文件按通知要求递交至指定开标地点，开标约定时间之后递交无效。</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5.投标确认函递交方式：（1）现场递交；（2）扫描件发送至</w:t>
      </w:r>
      <w:r>
        <w:fldChar w:fldCharType="begin"/>
      </w:r>
      <w:r>
        <w:instrText xml:space="preserve">HYPERLINK "mailto:（1）엌???；（2）え???퉥넘732206981@qq.com?甁；（3）?쓎?옆???（쨔???씭??삞즘），????焉?울???넘뙉?????，??첍?隸?죙???쇳삞?삻。"</w:instrText>
      </w:r>
      <w:r>
        <w:fldChar w:fldCharType="separate"/>
      </w:r>
      <w:r>
        <w:rPr>
          <w:rFonts w:hint="eastAsia" w:ascii="宋体" w:hAnsi="宋体" w:eastAsia="宋体" w:cs="宋体"/>
          <w:b w:val="0"/>
          <w:color w:val="000000" w:themeColor="text1"/>
          <w:sz w:val="24"/>
          <w:szCs w:val="24"/>
          <w14:textFill>
            <w14:solidFill>
              <w14:schemeClr w14:val="tx1"/>
            </w14:solidFill>
          </w14:textFill>
        </w:rPr>
        <w:t>549696035@qq.com</w:t>
      </w:r>
      <w:r>
        <w:rPr>
          <w:rFonts w:hint="eastAsia" w:ascii="宋体" w:hAnsi="宋体" w:eastAsia="宋体" w:cs="宋体"/>
          <w:color w:val="000000" w:themeColor="text1"/>
          <w:sz w:val="24"/>
          <w:szCs w:val="24"/>
          <w14:textFill>
            <w14:solidFill>
              <w14:schemeClr w14:val="tx1"/>
            </w14:solidFill>
          </w14:textFill>
        </w:rPr>
        <w:t>邮箱；（3）邮政或顺丰邮寄（以快递签收日期为准，快递风险自行承担），开标前将投标文件递交至扬州泰州国际机场应急救援部，开标约定时间之后递交视为无效。</w:t>
      </w:r>
      <w:r>
        <w:rPr>
          <w:rFonts w:hint="eastAsia" w:ascii="宋体" w:hAnsi="宋体" w:eastAsia="宋体" w:cs="宋体"/>
          <w:color w:val="000000" w:themeColor="text1"/>
          <w:sz w:val="24"/>
          <w:szCs w:val="24"/>
          <w14:textFill>
            <w14:solidFill>
              <w14:schemeClr w14:val="tx1"/>
            </w14:solidFill>
          </w14:textFill>
        </w:rPr>
        <w:fldChar w:fldCharType="end"/>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w:t>
      </w:r>
      <w:bookmarkStart w:id="0" w:name="_GoBack"/>
      <w:bookmarkEnd w:id="0"/>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6.联系人：王贵兵，联系电话：0514-86100330</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right"/>
        <w:rPr>
          <w:rFonts w:hint="eastAsia" w:ascii="宋体" w:hAnsi="宋体" w:eastAsia="宋体" w:cs="宋体"/>
          <w:sz w:val="24"/>
          <w:szCs w:val="24"/>
        </w:rPr>
      </w:pPr>
      <w:r>
        <w:rPr>
          <w:rFonts w:hint="eastAsia" w:ascii="宋体" w:hAnsi="宋体" w:eastAsia="宋体" w:cs="宋体"/>
          <w:sz w:val="24"/>
          <w:szCs w:val="24"/>
        </w:rPr>
        <w:t>扬州泰州国际机场投资建设有限责任公司</w:t>
      </w:r>
    </w:p>
    <w:p>
      <w:pPr>
        <w:numPr>
          <w:ilvl w:val="0"/>
          <w:numId w:val="0"/>
        </w:numPr>
        <w:ind w:right="0" w:firstLine="0"/>
        <w:jc w:val="right"/>
        <w:rPr>
          <w:rFonts w:hint="eastAsia" w:ascii="宋体" w:hAnsi="宋体" w:eastAsia="宋体" w:cs="宋体"/>
          <w:sz w:val="24"/>
          <w:szCs w:val="24"/>
        </w:rPr>
      </w:pPr>
      <w:r>
        <w:rPr>
          <w:rFonts w:hint="eastAsia" w:ascii="宋体" w:hAnsi="宋体" w:eastAsia="宋体" w:cs="宋体"/>
          <w:sz w:val="24"/>
          <w:szCs w:val="24"/>
        </w:rPr>
        <w:t>2020年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13</w:t>
      </w:r>
      <w:r>
        <w:rPr>
          <w:rFonts w:hint="eastAsia" w:ascii="宋体" w:hAnsi="宋体" w:eastAsia="宋体" w:cs="宋体"/>
          <w:sz w:val="24"/>
          <w:szCs w:val="24"/>
        </w:rPr>
        <w:t>日</w:t>
      </w: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附件一：设备/</w:t>
      </w:r>
      <w:r>
        <w:rPr>
          <w:rFonts w:hint="eastAsia" w:ascii="宋体" w:hAnsi="宋体" w:eastAsia="宋体" w:cs="宋体"/>
          <w:b/>
          <w:sz w:val="24"/>
          <w:szCs w:val="24"/>
        </w:rPr>
        <w:tab/>
      </w:r>
      <w:r>
        <w:rPr>
          <w:rFonts w:hint="eastAsia" w:ascii="宋体" w:hAnsi="宋体" w:eastAsia="宋体" w:cs="宋体"/>
          <w:b/>
          <w:sz w:val="24"/>
          <w:szCs w:val="24"/>
        </w:rPr>
        <w:t>物资清单、报价及技术要求</w:t>
      </w:r>
    </w:p>
    <w:tbl>
      <w:tblPr>
        <w:tblStyle w:val="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6"/>
        <w:gridCol w:w="2334"/>
        <w:gridCol w:w="619"/>
        <w:gridCol w:w="1219"/>
        <w:gridCol w:w="1350"/>
        <w:gridCol w:w="2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扬州泰州国际机场</w:t>
            </w:r>
            <w:r>
              <w:rPr>
                <w:rFonts w:hint="eastAsia" w:ascii="宋体" w:hAnsi="宋体" w:eastAsia="宋体" w:cs="宋体"/>
                <w:b w:val="0"/>
                <w:sz w:val="24"/>
                <w:szCs w:val="24"/>
                <w:lang w:eastAsia="zh-CN"/>
              </w:rPr>
              <w:t>车辆</w:t>
            </w:r>
            <w:r>
              <w:rPr>
                <w:rFonts w:hint="eastAsia" w:ascii="宋体" w:hAnsi="宋体" w:eastAsia="宋体" w:cs="宋体"/>
                <w:b w:val="0"/>
                <w:sz w:val="24"/>
                <w:szCs w:val="24"/>
              </w:rPr>
              <w:t>轮胎采购项目</w:t>
            </w:r>
          </w:p>
          <w:p>
            <w:pPr>
              <w:numPr>
                <w:ilvl w:val="0"/>
                <w:numId w:val="0"/>
              </w:numPr>
              <w:wordWrap w:val="0"/>
              <w:ind w:right="0" w:firstLine="0"/>
              <w:jc w:val="right"/>
              <w:rPr>
                <w:rFonts w:hint="eastAsia" w:ascii="宋体" w:hAnsi="宋体" w:eastAsia="宋体" w:cs="宋体"/>
                <w:b/>
                <w:sz w:val="24"/>
                <w:szCs w:val="24"/>
              </w:rPr>
            </w:pPr>
            <w:r>
              <w:rPr>
                <w:rFonts w:hint="eastAsia" w:ascii="宋体" w:hAnsi="宋体" w:eastAsia="宋体" w:cs="宋体"/>
                <w:b w:val="0"/>
                <w:sz w:val="24"/>
                <w:szCs w:val="24"/>
              </w:rPr>
              <w:t>单位: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6" w:type="dxa"/>
            <w:vAlign w:val="center"/>
          </w:tcPr>
          <w:p>
            <w:pPr>
              <w:numPr>
                <w:ilvl w:val="0"/>
                <w:numId w:val="0"/>
              </w:numPr>
              <w:ind w:right="0" w:firstLine="0"/>
              <w:jc w:val="center"/>
              <w:rPr>
                <w:rFonts w:hint="eastAsia" w:ascii="宋体" w:hAnsi="宋体" w:eastAsia="宋体" w:cs="宋体"/>
                <w:b/>
                <w:sz w:val="24"/>
                <w:szCs w:val="24"/>
              </w:rPr>
            </w:pPr>
            <w:r>
              <w:rPr>
                <w:rFonts w:hint="eastAsia" w:ascii="宋体" w:hAnsi="宋体" w:eastAsia="宋体" w:cs="宋体"/>
                <w:b w:val="0"/>
                <w:sz w:val="24"/>
                <w:szCs w:val="24"/>
              </w:rPr>
              <w:t>序号</w:t>
            </w:r>
          </w:p>
        </w:tc>
        <w:tc>
          <w:tcPr>
            <w:tcW w:w="2334" w:type="dxa"/>
            <w:vAlign w:val="center"/>
          </w:tcPr>
          <w:p>
            <w:pPr>
              <w:numPr>
                <w:ilvl w:val="0"/>
                <w:numId w:val="0"/>
              </w:numPr>
              <w:ind w:right="0" w:firstLine="0"/>
              <w:jc w:val="center"/>
              <w:rPr>
                <w:rFonts w:hint="eastAsia" w:ascii="宋体" w:hAnsi="宋体" w:eastAsia="宋体" w:cs="宋体"/>
                <w:b/>
                <w:sz w:val="24"/>
                <w:szCs w:val="24"/>
              </w:rPr>
            </w:pPr>
            <w:r>
              <w:rPr>
                <w:rFonts w:hint="eastAsia" w:ascii="宋体" w:hAnsi="宋体" w:eastAsia="宋体" w:cs="宋体"/>
                <w:b w:val="0"/>
                <w:sz w:val="24"/>
                <w:szCs w:val="24"/>
              </w:rPr>
              <w:t>规格型号</w:t>
            </w:r>
          </w:p>
        </w:tc>
        <w:tc>
          <w:tcPr>
            <w:tcW w:w="619" w:type="dxa"/>
            <w:vAlign w:val="center"/>
          </w:tcPr>
          <w:p>
            <w:pPr>
              <w:numPr>
                <w:ilvl w:val="0"/>
                <w:numId w:val="0"/>
              </w:numPr>
              <w:ind w:right="0" w:firstLine="0"/>
              <w:jc w:val="center"/>
              <w:rPr>
                <w:rFonts w:hint="eastAsia" w:ascii="宋体" w:hAnsi="宋体" w:eastAsia="宋体" w:cs="宋体"/>
                <w:b/>
                <w:sz w:val="24"/>
                <w:szCs w:val="24"/>
              </w:rPr>
            </w:pPr>
            <w:r>
              <w:rPr>
                <w:rFonts w:hint="eastAsia" w:ascii="宋体" w:hAnsi="宋体" w:eastAsia="宋体" w:cs="宋体"/>
                <w:b w:val="0"/>
                <w:sz w:val="24"/>
                <w:szCs w:val="24"/>
              </w:rPr>
              <w:t>数量</w:t>
            </w:r>
          </w:p>
        </w:tc>
        <w:tc>
          <w:tcPr>
            <w:tcW w:w="1219" w:type="dxa"/>
            <w:vAlign w:val="center"/>
          </w:tcPr>
          <w:p>
            <w:pPr>
              <w:numPr>
                <w:ilvl w:val="0"/>
                <w:numId w:val="0"/>
              </w:numPr>
              <w:ind w:right="0" w:firstLine="0"/>
              <w:jc w:val="center"/>
              <w:rPr>
                <w:rFonts w:hint="eastAsia" w:ascii="宋体" w:hAnsi="宋体" w:eastAsia="宋体" w:cs="宋体"/>
                <w:b/>
                <w:sz w:val="24"/>
                <w:szCs w:val="24"/>
              </w:rPr>
            </w:pPr>
            <w:r>
              <w:rPr>
                <w:rFonts w:hint="eastAsia" w:ascii="宋体" w:hAnsi="宋体" w:eastAsia="宋体" w:cs="宋体"/>
                <w:b w:val="0"/>
                <w:sz w:val="24"/>
                <w:szCs w:val="24"/>
              </w:rPr>
              <w:t>载重指数</w:t>
            </w:r>
          </w:p>
        </w:tc>
        <w:tc>
          <w:tcPr>
            <w:tcW w:w="1350" w:type="dxa"/>
            <w:vAlign w:val="center"/>
          </w:tcPr>
          <w:p>
            <w:pPr>
              <w:numPr>
                <w:ilvl w:val="0"/>
                <w:numId w:val="0"/>
              </w:numPr>
              <w:ind w:right="0" w:firstLine="0"/>
              <w:jc w:val="center"/>
              <w:rPr>
                <w:rFonts w:hint="eastAsia" w:ascii="宋体" w:hAnsi="宋体" w:eastAsia="宋体" w:cs="宋体"/>
                <w:b/>
                <w:sz w:val="24"/>
                <w:szCs w:val="24"/>
              </w:rPr>
            </w:pPr>
            <w:r>
              <w:rPr>
                <w:rFonts w:hint="eastAsia" w:ascii="宋体" w:hAnsi="宋体" w:eastAsia="宋体" w:cs="宋体"/>
                <w:b w:val="0"/>
                <w:sz w:val="24"/>
                <w:szCs w:val="24"/>
              </w:rPr>
              <w:t>速度级别</w:t>
            </w:r>
          </w:p>
        </w:tc>
        <w:tc>
          <w:tcPr>
            <w:tcW w:w="2264" w:type="dxa"/>
            <w:vAlign w:val="center"/>
          </w:tcPr>
          <w:p>
            <w:pPr>
              <w:numPr>
                <w:ilvl w:val="0"/>
                <w:numId w:val="0"/>
              </w:numPr>
              <w:ind w:right="0" w:firstLine="0"/>
              <w:jc w:val="center"/>
              <w:rPr>
                <w:rFonts w:hint="eastAsia" w:ascii="宋体" w:hAnsi="宋体" w:eastAsia="宋体" w:cs="宋体"/>
                <w:b/>
                <w:sz w:val="24"/>
                <w:szCs w:val="24"/>
              </w:rPr>
            </w:pPr>
            <w:r>
              <w:rPr>
                <w:rFonts w:hint="eastAsia" w:ascii="宋体" w:hAnsi="宋体" w:eastAsia="宋体" w:cs="宋体"/>
                <w:b w:val="0"/>
                <w:sz w:val="24"/>
                <w:szCs w:val="24"/>
              </w:rPr>
              <w:t>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36"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w:t>
            </w:r>
          </w:p>
        </w:tc>
        <w:tc>
          <w:tcPr>
            <w:tcW w:w="233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14.00R20</w:t>
            </w:r>
          </w:p>
        </w:tc>
        <w:tc>
          <w:tcPr>
            <w:tcW w:w="6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6</w:t>
            </w:r>
          </w:p>
        </w:tc>
        <w:tc>
          <w:tcPr>
            <w:tcW w:w="12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5000Kg</w:t>
            </w:r>
          </w:p>
        </w:tc>
        <w:tc>
          <w:tcPr>
            <w:tcW w:w="1350"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164K</w:t>
            </w:r>
          </w:p>
        </w:tc>
        <w:tc>
          <w:tcPr>
            <w:tcW w:w="226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米其林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36"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2</w:t>
            </w:r>
          </w:p>
        </w:tc>
        <w:tc>
          <w:tcPr>
            <w:tcW w:w="233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225/65R17</w:t>
            </w:r>
          </w:p>
        </w:tc>
        <w:tc>
          <w:tcPr>
            <w:tcW w:w="6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8</w:t>
            </w:r>
          </w:p>
        </w:tc>
        <w:tc>
          <w:tcPr>
            <w:tcW w:w="12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850Kg</w:t>
            </w:r>
          </w:p>
        </w:tc>
        <w:tc>
          <w:tcPr>
            <w:tcW w:w="1350"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102T</w:t>
            </w:r>
          </w:p>
        </w:tc>
        <w:tc>
          <w:tcPr>
            <w:tcW w:w="226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邓禄普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36"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3</w:t>
            </w:r>
          </w:p>
        </w:tc>
        <w:tc>
          <w:tcPr>
            <w:tcW w:w="233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215/75R15</w:t>
            </w:r>
          </w:p>
        </w:tc>
        <w:tc>
          <w:tcPr>
            <w:tcW w:w="6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8</w:t>
            </w:r>
          </w:p>
        </w:tc>
        <w:tc>
          <w:tcPr>
            <w:tcW w:w="12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800Kg</w:t>
            </w:r>
          </w:p>
        </w:tc>
        <w:tc>
          <w:tcPr>
            <w:tcW w:w="1350"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100S</w:t>
            </w:r>
          </w:p>
        </w:tc>
        <w:tc>
          <w:tcPr>
            <w:tcW w:w="226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邓禄普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36"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4</w:t>
            </w:r>
          </w:p>
        </w:tc>
        <w:tc>
          <w:tcPr>
            <w:tcW w:w="233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245/70R16</w:t>
            </w:r>
          </w:p>
        </w:tc>
        <w:tc>
          <w:tcPr>
            <w:tcW w:w="6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40</w:t>
            </w:r>
          </w:p>
        </w:tc>
        <w:tc>
          <w:tcPr>
            <w:tcW w:w="12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1090Kg</w:t>
            </w:r>
          </w:p>
        </w:tc>
        <w:tc>
          <w:tcPr>
            <w:tcW w:w="1350"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111S</w:t>
            </w:r>
          </w:p>
        </w:tc>
        <w:tc>
          <w:tcPr>
            <w:tcW w:w="226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固特异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36"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5</w:t>
            </w:r>
          </w:p>
        </w:tc>
        <w:tc>
          <w:tcPr>
            <w:tcW w:w="233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215/75R16</w:t>
            </w:r>
          </w:p>
        </w:tc>
        <w:tc>
          <w:tcPr>
            <w:tcW w:w="6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8</w:t>
            </w:r>
          </w:p>
        </w:tc>
        <w:tc>
          <w:tcPr>
            <w:tcW w:w="12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1120Kg</w:t>
            </w:r>
          </w:p>
        </w:tc>
        <w:tc>
          <w:tcPr>
            <w:tcW w:w="1350"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112/109R</w:t>
            </w:r>
          </w:p>
        </w:tc>
        <w:tc>
          <w:tcPr>
            <w:tcW w:w="226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固特异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36"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6</w:t>
            </w:r>
          </w:p>
        </w:tc>
        <w:tc>
          <w:tcPr>
            <w:tcW w:w="233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225/70R15C</w:t>
            </w:r>
          </w:p>
        </w:tc>
        <w:tc>
          <w:tcPr>
            <w:tcW w:w="6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10</w:t>
            </w:r>
          </w:p>
        </w:tc>
        <w:tc>
          <w:tcPr>
            <w:tcW w:w="12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950Kg</w:t>
            </w:r>
          </w:p>
        </w:tc>
        <w:tc>
          <w:tcPr>
            <w:tcW w:w="1350"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106/103Q</w:t>
            </w:r>
          </w:p>
        </w:tc>
        <w:tc>
          <w:tcPr>
            <w:tcW w:w="226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建大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36"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7</w:t>
            </w:r>
          </w:p>
        </w:tc>
        <w:tc>
          <w:tcPr>
            <w:tcW w:w="233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225/60R17</w:t>
            </w:r>
          </w:p>
        </w:tc>
        <w:tc>
          <w:tcPr>
            <w:tcW w:w="6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8</w:t>
            </w:r>
          </w:p>
        </w:tc>
        <w:tc>
          <w:tcPr>
            <w:tcW w:w="12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775Kg</w:t>
            </w:r>
          </w:p>
        </w:tc>
        <w:tc>
          <w:tcPr>
            <w:tcW w:w="1350"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99H</w:t>
            </w:r>
          </w:p>
        </w:tc>
        <w:tc>
          <w:tcPr>
            <w:tcW w:w="226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玛吉斯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36"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8</w:t>
            </w:r>
          </w:p>
        </w:tc>
        <w:tc>
          <w:tcPr>
            <w:tcW w:w="233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7.00-15</w:t>
            </w:r>
          </w:p>
        </w:tc>
        <w:tc>
          <w:tcPr>
            <w:tcW w:w="6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4</w:t>
            </w:r>
          </w:p>
        </w:tc>
        <w:tc>
          <w:tcPr>
            <w:tcW w:w="12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1160Kg</w:t>
            </w:r>
          </w:p>
        </w:tc>
        <w:tc>
          <w:tcPr>
            <w:tcW w:w="1350"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109/105L</w:t>
            </w:r>
          </w:p>
        </w:tc>
        <w:tc>
          <w:tcPr>
            <w:tcW w:w="226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朝阳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36"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9</w:t>
            </w:r>
          </w:p>
        </w:tc>
        <w:tc>
          <w:tcPr>
            <w:tcW w:w="233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7.50-16</w:t>
            </w:r>
          </w:p>
        </w:tc>
        <w:tc>
          <w:tcPr>
            <w:tcW w:w="6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4</w:t>
            </w:r>
          </w:p>
        </w:tc>
        <w:tc>
          <w:tcPr>
            <w:tcW w:w="12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870Kg</w:t>
            </w:r>
          </w:p>
        </w:tc>
        <w:tc>
          <w:tcPr>
            <w:tcW w:w="1350"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F-1</w:t>
            </w:r>
          </w:p>
        </w:tc>
        <w:tc>
          <w:tcPr>
            <w:tcW w:w="226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朝阳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trPr>
        <w:tc>
          <w:tcPr>
            <w:tcW w:w="736"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10</w:t>
            </w:r>
          </w:p>
        </w:tc>
        <w:tc>
          <w:tcPr>
            <w:tcW w:w="233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12.00R24</w:t>
            </w:r>
          </w:p>
        </w:tc>
        <w:tc>
          <w:tcPr>
            <w:tcW w:w="6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12</w:t>
            </w:r>
          </w:p>
        </w:tc>
        <w:tc>
          <w:tcPr>
            <w:tcW w:w="12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4500Kg</w:t>
            </w:r>
          </w:p>
        </w:tc>
        <w:tc>
          <w:tcPr>
            <w:tcW w:w="1350"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160/157K</w:t>
            </w:r>
          </w:p>
        </w:tc>
        <w:tc>
          <w:tcPr>
            <w:tcW w:w="226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朝阳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36"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11</w:t>
            </w:r>
          </w:p>
        </w:tc>
        <w:tc>
          <w:tcPr>
            <w:tcW w:w="233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7.00R16LT（真空）</w:t>
            </w:r>
          </w:p>
        </w:tc>
        <w:tc>
          <w:tcPr>
            <w:tcW w:w="6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12</w:t>
            </w:r>
          </w:p>
        </w:tc>
        <w:tc>
          <w:tcPr>
            <w:tcW w:w="12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1215Kg</w:t>
            </w:r>
          </w:p>
        </w:tc>
        <w:tc>
          <w:tcPr>
            <w:tcW w:w="1350"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115N</w:t>
            </w:r>
          </w:p>
        </w:tc>
        <w:tc>
          <w:tcPr>
            <w:tcW w:w="226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朝阳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36"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12</w:t>
            </w:r>
          </w:p>
        </w:tc>
        <w:tc>
          <w:tcPr>
            <w:tcW w:w="233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9.00R20</w:t>
            </w:r>
          </w:p>
        </w:tc>
        <w:tc>
          <w:tcPr>
            <w:tcW w:w="6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12</w:t>
            </w:r>
          </w:p>
        </w:tc>
        <w:tc>
          <w:tcPr>
            <w:tcW w:w="12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2800Kg</w:t>
            </w:r>
          </w:p>
        </w:tc>
        <w:tc>
          <w:tcPr>
            <w:tcW w:w="1350"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144/142K</w:t>
            </w:r>
          </w:p>
        </w:tc>
        <w:tc>
          <w:tcPr>
            <w:tcW w:w="226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成山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36"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13</w:t>
            </w:r>
          </w:p>
        </w:tc>
        <w:tc>
          <w:tcPr>
            <w:tcW w:w="233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6.50-10</w:t>
            </w:r>
          </w:p>
        </w:tc>
        <w:tc>
          <w:tcPr>
            <w:tcW w:w="6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16</w:t>
            </w:r>
          </w:p>
        </w:tc>
        <w:tc>
          <w:tcPr>
            <w:tcW w:w="12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1655Kg</w:t>
            </w:r>
          </w:p>
        </w:tc>
        <w:tc>
          <w:tcPr>
            <w:tcW w:w="1350"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NHS</w:t>
            </w:r>
          </w:p>
        </w:tc>
        <w:tc>
          <w:tcPr>
            <w:tcW w:w="226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朝阳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36"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14</w:t>
            </w:r>
          </w:p>
        </w:tc>
        <w:tc>
          <w:tcPr>
            <w:tcW w:w="233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28X9-15</w:t>
            </w:r>
          </w:p>
        </w:tc>
        <w:tc>
          <w:tcPr>
            <w:tcW w:w="6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8</w:t>
            </w:r>
          </w:p>
        </w:tc>
        <w:tc>
          <w:tcPr>
            <w:tcW w:w="12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2790Kg</w:t>
            </w:r>
          </w:p>
        </w:tc>
        <w:tc>
          <w:tcPr>
            <w:tcW w:w="1350"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NHS</w:t>
            </w:r>
          </w:p>
        </w:tc>
        <w:tc>
          <w:tcPr>
            <w:tcW w:w="226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朝阳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36"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15</w:t>
            </w:r>
          </w:p>
        </w:tc>
        <w:tc>
          <w:tcPr>
            <w:tcW w:w="233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7.00-16LT（带内胎）</w:t>
            </w:r>
          </w:p>
        </w:tc>
        <w:tc>
          <w:tcPr>
            <w:tcW w:w="6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20</w:t>
            </w:r>
          </w:p>
        </w:tc>
        <w:tc>
          <w:tcPr>
            <w:tcW w:w="12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1215Kg</w:t>
            </w:r>
          </w:p>
        </w:tc>
        <w:tc>
          <w:tcPr>
            <w:tcW w:w="1350"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115/110L</w:t>
            </w:r>
          </w:p>
        </w:tc>
        <w:tc>
          <w:tcPr>
            <w:tcW w:w="226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正新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36"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16</w:t>
            </w:r>
          </w:p>
        </w:tc>
        <w:tc>
          <w:tcPr>
            <w:tcW w:w="233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12.00-20</w:t>
            </w:r>
          </w:p>
        </w:tc>
        <w:tc>
          <w:tcPr>
            <w:tcW w:w="6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16</w:t>
            </w:r>
          </w:p>
        </w:tc>
        <w:tc>
          <w:tcPr>
            <w:tcW w:w="12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4000Kg</w:t>
            </w:r>
          </w:p>
        </w:tc>
        <w:tc>
          <w:tcPr>
            <w:tcW w:w="1350"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156K</w:t>
            </w:r>
          </w:p>
        </w:tc>
        <w:tc>
          <w:tcPr>
            <w:tcW w:w="226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朝阳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36"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17</w:t>
            </w:r>
          </w:p>
        </w:tc>
        <w:tc>
          <w:tcPr>
            <w:tcW w:w="233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16X5-9(实心胎）</w:t>
            </w:r>
          </w:p>
        </w:tc>
        <w:tc>
          <w:tcPr>
            <w:tcW w:w="6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10</w:t>
            </w:r>
          </w:p>
        </w:tc>
        <w:tc>
          <w:tcPr>
            <w:tcW w:w="12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1000Kg</w:t>
            </w:r>
          </w:p>
        </w:tc>
        <w:tc>
          <w:tcPr>
            <w:tcW w:w="1350" w:type="dxa"/>
            <w:vAlign w:val="center"/>
          </w:tcPr>
          <w:p>
            <w:pPr>
              <w:numPr>
                <w:ilvl w:val="0"/>
                <w:numId w:val="0"/>
              </w:numPr>
              <w:ind w:right="0" w:firstLine="0"/>
              <w:jc w:val="center"/>
              <w:rPr>
                <w:rFonts w:hint="eastAsia" w:ascii="宋体" w:hAnsi="宋体" w:eastAsia="宋体" w:cs="宋体"/>
                <w:b w:val="0"/>
                <w:sz w:val="24"/>
                <w:szCs w:val="24"/>
              </w:rPr>
            </w:pPr>
          </w:p>
        </w:tc>
        <w:tc>
          <w:tcPr>
            <w:tcW w:w="226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正新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36"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18</w:t>
            </w:r>
          </w:p>
        </w:tc>
        <w:tc>
          <w:tcPr>
            <w:tcW w:w="233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400-8（实心胎）</w:t>
            </w:r>
          </w:p>
        </w:tc>
        <w:tc>
          <w:tcPr>
            <w:tcW w:w="6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10</w:t>
            </w:r>
          </w:p>
        </w:tc>
        <w:tc>
          <w:tcPr>
            <w:tcW w:w="1219"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1000Kg</w:t>
            </w:r>
          </w:p>
        </w:tc>
        <w:tc>
          <w:tcPr>
            <w:tcW w:w="1350" w:type="dxa"/>
            <w:vAlign w:val="center"/>
          </w:tcPr>
          <w:p>
            <w:pPr>
              <w:numPr>
                <w:ilvl w:val="0"/>
                <w:numId w:val="0"/>
              </w:numPr>
              <w:ind w:right="0" w:firstLine="0"/>
              <w:jc w:val="center"/>
              <w:rPr>
                <w:rFonts w:hint="eastAsia" w:ascii="宋体" w:hAnsi="宋体" w:eastAsia="宋体" w:cs="宋体"/>
                <w:b w:val="0"/>
                <w:sz w:val="24"/>
                <w:szCs w:val="24"/>
              </w:rPr>
            </w:pPr>
          </w:p>
        </w:tc>
        <w:tc>
          <w:tcPr>
            <w:tcW w:w="2264" w:type="dxa"/>
            <w:vAlign w:val="center"/>
          </w:tcPr>
          <w:p>
            <w:pPr>
              <w:numPr>
                <w:ilvl w:val="0"/>
                <w:numId w:val="0"/>
              </w:numPr>
              <w:ind w:right="0" w:firstLine="0"/>
              <w:jc w:val="center"/>
              <w:rPr>
                <w:rFonts w:hint="eastAsia" w:ascii="宋体" w:hAnsi="宋体" w:eastAsia="宋体" w:cs="宋体"/>
                <w:b w:val="0"/>
                <w:sz w:val="24"/>
                <w:szCs w:val="24"/>
              </w:rPr>
            </w:pPr>
            <w:r>
              <w:rPr>
                <w:rFonts w:hint="eastAsia" w:ascii="宋体" w:hAnsi="宋体" w:eastAsia="宋体" w:cs="宋体"/>
                <w:b w:val="0"/>
                <w:sz w:val="24"/>
                <w:szCs w:val="24"/>
              </w:rPr>
              <w:t>朝阳</w:t>
            </w:r>
          </w:p>
        </w:tc>
      </w:tr>
    </w:tbl>
    <w:p>
      <w:pPr>
        <w:numPr>
          <w:ilvl w:val="0"/>
          <w:numId w:val="0"/>
        </w:numPr>
        <w:ind w:right="0" w:firstLine="0"/>
        <w:jc w:val="center"/>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注：本表数量为招标人预计使用数量，仅作为评标及合同签订之用。招标人有权根据需要调整数量，并按实际数量结算，中标人应无条件满足。投标基数价格为上述产品每只轮胎单价，单价累加为标书参考价。</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附件二：合同条款方式</w:t>
      </w:r>
    </w:p>
    <w:p>
      <w:pPr>
        <w:numPr>
          <w:ilvl w:val="0"/>
          <w:numId w:val="0"/>
        </w:numPr>
        <w:ind w:right="0" w:firstLine="480"/>
        <w:jc w:val="left"/>
        <w:rPr>
          <w:rFonts w:hint="eastAsia" w:ascii="宋体" w:hAnsi="宋体" w:eastAsia="宋体" w:cs="宋体"/>
          <w:sz w:val="24"/>
          <w:szCs w:val="24"/>
        </w:rPr>
      </w:pPr>
      <w:r>
        <w:rPr>
          <w:rFonts w:hint="eastAsia" w:ascii="宋体" w:hAnsi="宋体" w:eastAsia="宋体" w:cs="宋体"/>
          <w:sz w:val="24"/>
          <w:szCs w:val="24"/>
        </w:rPr>
        <w:t>买卖双方根据《中华人民共和国合同法》之规定，本着友好合作、协商一致的原则，由买方同意购入、卖方同意出售以下设备/物资及服务事宜达成如下合同：</w:t>
      </w:r>
    </w:p>
    <w:p>
      <w:pPr>
        <w:numPr>
          <w:ilvl w:val="0"/>
          <w:numId w:val="1"/>
        </w:numPr>
        <w:jc w:val="left"/>
        <w:rPr>
          <w:rFonts w:hint="eastAsia" w:ascii="宋体" w:hAnsi="宋体" w:eastAsia="宋体" w:cs="宋体"/>
          <w:b/>
          <w:sz w:val="24"/>
          <w:szCs w:val="24"/>
        </w:rPr>
      </w:pPr>
      <w:r>
        <w:rPr>
          <w:rFonts w:hint="eastAsia" w:ascii="宋体" w:hAnsi="宋体" w:eastAsia="宋体" w:cs="宋体"/>
          <w:b/>
          <w:sz w:val="24"/>
          <w:szCs w:val="24"/>
        </w:rPr>
        <w:t xml:space="preserve">产品名称、规格型号、数量、价格：                       </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b w:val="0"/>
          <w:sz w:val="24"/>
          <w:szCs w:val="24"/>
        </w:rPr>
        <w:t>单位：元（人民币）</w:t>
      </w:r>
    </w:p>
    <w:tbl>
      <w:tblPr>
        <w:tblStyle w:val="3"/>
        <w:tblW w:w="83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5"/>
        <w:gridCol w:w="1297"/>
        <w:gridCol w:w="3023"/>
        <w:gridCol w:w="1148"/>
        <w:gridCol w:w="1005"/>
        <w:gridCol w:w="1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97"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品名</w:t>
            </w:r>
          </w:p>
        </w:tc>
        <w:tc>
          <w:tcPr>
            <w:tcW w:w="3023"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品牌型号及主要参数</w:t>
            </w:r>
          </w:p>
        </w:tc>
        <w:tc>
          <w:tcPr>
            <w:tcW w:w="1148" w:type="dxa"/>
            <w:vAlign w:val="center"/>
          </w:tcPr>
          <w:p>
            <w:pPr>
              <w:numPr>
                <w:ilvl w:val="0"/>
                <w:numId w:val="0"/>
              </w:numPr>
              <w:ind w:right="0" w:firstLine="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数量</w:t>
            </w:r>
          </w:p>
        </w:tc>
        <w:tc>
          <w:tcPr>
            <w:tcW w:w="1005" w:type="dxa"/>
            <w:vAlign w:val="center"/>
          </w:tcPr>
          <w:p>
            <w:pPr>
              <w:numPr>
                <w:ilvl w:val="0"/>
                <w:numId w:val="0"/>
              </w:numPr>
              <w:ind w:right="0" w:firstLine="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不含税单价</w:t>
            </w:r>
          </w:p>
        </w:tc>
        <w:tc>
          <w:tcPr>
            <w:tcW w:w="1155" w:type="dxa"/>
            <w:vAlign w:val="center"/>
          </w:tcPr>
          <w:p>
            <w:pPr>
              <w:numPr>
                <w:ilvl w:val="0"/>
                <w:numId w:val="0"/>
              </w:numPr>
              <w:ind w:right="0" w:firstLine="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不含税总价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Align w:val="center"/>
          </w:tcPr>
          <w:p>
            <w:pPr>
              <w:numPr>
                <w:ilvl w:val="0"/>
                <w:numId w:val="0"/>
              </w:numPr>
              <w:ind w:right="0" w:firstLine="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97" w:type="dxa"/>
            <w:vAlign w:val="center"/>
          </w:tcPr>
          <w:p>
            <w:pPr>
              <w:numPr>
                <w:ilvl w:val="0"/>
                <w:numId w:val="0"/>
              </w:numPr>
              <w:ind w:right="0" w:firstLine="0"/>
              <w:jc w:val="center"/>
              <w:rPr>
                <w:rFonts w:hint="eastAsia" w:ascii="宋体" w:hAnsi="宋体" w:eastAsia="宋体" w:cs="宋体"/>
                <w:sz w:val="24"/>
                <w:szCs w:val="24"/>
              </w:rPr>
            </w:pPr>
          </w:p>
        </w:tc>
        <w:tc>
          <w:tcPr>
            <w:tcW w:w="3023" w:type="dxa"/>
            <w:vAlign w:val="center"/>
          </w:tcPr>
          <w:p>
            <w:pPr>
              <w:numPr>
                <w:ilvl w:val="0"/>
                <w:numId w:val="0"/>
              </w:numPr>
              <w:ind w:right="0" w:firstLine="0"/>
              <w:jc w:val="center"/>
              <w:rPr>
                <w:rFonts w:hint="eastAsia" w:ascii="宋体" w:hAnsi="宋体" w:eastAsia="宋体" w:cs="宋体"/>
                <w:sz w:val="24"/>
                <w:szCs w:val="24"/>
              </w:rPr>
            </w:pPr>
          </w:p>
        </w:tc>
        <w:tc>
          <w:tcPr>
            <w:tcW w:w="1148" w:type="dxa"/>
            <w:vAlign w:val="center"/>
          </w:tcPr>
          <w:p>
            <w:pPr>
              <w:numPr>
                <w:ilvl w:val="0"/>
                <w:numId w:val="0"/>
              </w:numPr>
              <w:ind w:right="0" w:firstLine="0"/>
              <w:jc w:val="center"/>
              <w:rPr>
                <w:rFonts w:hint="eastAsia" w:ascii="宋体" w:hAnsi="宋体" w:eastAsia="宋体" w:cs="宋体"/>
                <w:sz w:val="24"/>
                <w:szCs w:val="24"/>
                <w:lang w:val="en-US" w:eastAsia="zh-CN"/>
              </w:rPr>
            </w:pPr>
          </w:p>
        </w:tc>
        <w:tc>
          <w:tcPr>
            <w:tcW w:w="1005" w:type="dxa"/>
            <w:vAlign w:val="center"/>
          </w:tcPr>
          <w:p>
            <w:pPr>
              <w:numPr>
                <w:ilvl w:val="0"/>
                <w:numId w:val="0"/>
              </w:numPr>
              <w:ind w:right="0" w:firstLine="0"/>
              <w:jc w:val="center"/>
              <w:rPr>
                <w:rFonts w:hint="eastAsia" w:ascii="宋体" w:hAnsi="宋体" w:eastAsia="宋体" w:cs="宋体"/>
                <w:sz w:val="24"/>
                <w:szCs w:val="24"/>
                <w:lang w:val="en-US" w:eastAsia="zh-CN"/>
              </w:rPr>
            </w:pPr>
          </w:p>
        </w:tc>
        <w:tc>
          <w:tcPr>
            <w:tcW w:w="1155" w:type="dxa"/>
            <w:vAlign w:val="center"/>
          </w:tcPr>
          <w:p>
            <w:pPr>
              <w:numPr>
                <w:ilvl w:val="0"/>
                <w:numId w:val="0"/>
              </w:numPr>
              <w:ind w:right="0" w:firstLine="0"/>
              <w:jc w:val="center"/>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5" w:type="dxa"/>
            <w:vAlign w:val="center"/>
          </w:tcPr>
          <w:p>
            <w:pPr>
              <w:numPr>
                <w:ilvl w:val="0"/>
                <w:numId w:val="0"/>
              </w:numPr>
              <w:ind w:right="0" w:firstLine="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97" w:type="dxa"/>
            <w:vAlign w:val="center"/>
          </w:tcPr>
          <w:p>
            <w:pPr>
              <w:numPr>
                <w:ilvl w:val="0"/>
                <w:numId w:val="0"/>
              </w:numPr>
              <w:ind w:right="0" w:firstLine="0"/>
              <w:jc w:val="center"/>
              <w:rPr>
                <w:rFonts w:hint="eastAsia" w:ascii="宋体" w:hAnsi="宋体" w:eastAsia="宋体" w:cs="宋体"/>
                <w:sz w:val="24"/>
                <w:szCs w:val="24"/>
              </w:rPr>
            </w:pPr>
          </w:p>
        </w:tc>
        <w:tc>
          <w:tcPr>
            <w:tcW w:w="3023" w:type="dxa"/>
            <w:vAlign w:val="center"/>
          </w:tcPr>
          <w:p>
            <w:pPr>
              <w:numPr>
                <w:ilvl w:val="0"/>
                <w:numId w:val="0"/>
              </w:numPr>
              <w:ind w:right="0" w:firstLine="0"/>
              <w:jc w:val="center"/>
              <w:rPr>
                <w:rFonts w:hint="eastAsia" w:ascii="宋体" w:hAnsi="宋体" w:eastAsia="宋体" w:cs="宋体"/>
                <w:sz w:val="24"/>
                <w:szCs w:val="24"/>
              </w:rPr>
            </w:pPr>
          </w:p>
        </w:tc>
        <w:tc>
          <w:tcPr>
            <w:tcW w:w="1148" w:type="dxa"/>
            <w:vAlign w:val="center"/>
          </w:tcPr>
          <w:p>
            <w:pPr>
              <w:numPr>
                <w:ilvl w:val="0"/>
                <w:numId w:val="0"/>
              </w:numPr>
              <w:ind w:right="0" w:firstLine="0"/>
              <w:jc w:val="center"/>
              <w:rPr>
                <w:rFonts w:hint="eastAsia" w:ascii="宋体" w:hAnsi="宋体" w:eastAsia="宋体" w:cs="宋体"/>
                <w:sz w:val="24"/>
                <w:szCs w:val="24"/>
                <w:lang w:val="en-US" w:eastAsia="zh-CN"/>
              </w:rPr>
            </w:pPr>
          </w:p>
        </w:tc>
        <w:tc>
          <w:tcPr>
            <w:tcW w:w="1005" w:type="dxa"/>
            <w:vAlign w:val="center"/>
          </w:tcPr>
          <w:p>
            <w:pPr>
              <w:numPr>
                <w:ilvl w:val="0"/>
                <w:numId w:val="0"/>
              </w:numPr>
              <w:ind w:right="0" w:firstLine="0"/>
              <w:jc w:val="center"/>
              <w:rPr>
                <w:rFonts w:hint="eastAsia" w:ascii="宋体" w:hAnsi="宋体" w:eastAsia="宋体" w:cs="宋体"/>
                <w:sz w:val="24"/>
                <w:szCs w:val="24"/>
                <w:lang w:val="en-US" w:eastAsia="zh-CN"/>
              </w:rPr>
            </w:pPr>
          </w:p>
        </w:tc>
        <w:tc>
          <w:tcPr>
            <w:tcW w:w="1155" w:type="dxa"/>
            <w:vAlign w:val="center"/>
          </w:tcPr>
          <w:p>
            <w:pPr>
              <w:numPr>
                <w:ilvl w:val="0"/>
                <w:numId w:val="0"/>
              </w:numPr>
              <w:ind w:right="0" w:firstLine="0"/>
              <w:jc w:val="center"/>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755"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w:t>
            </w:r>
          </w:p>
        </w:tc>
        <w:tc>
          <w:tcPr>
            <w:tcW w:w="1297" w:type="dxa"/>
            <w:vAlign w:val="center"/>
          </w:tcPr>
          <w:p>
            <w:pPr>
              <w:numPr>
                <w:ilvl w:val="0"/>
                <w:numId w:val="0"/>
              </w:numPr>
              <w:ind w:right="0" w:firstLine="0"/>
              <w:jc w:val="left"/>
              <w:rPr>
                <w:rFonts w:hint="eastAsia" w:ascii="宋体" w:hAnsi="宋体" w:eastAsia="宋体" w:cs="宋体"/>
                <w:sz w:val="24"/>
                <w:szCs w:val="24"/>
              </w:rPr>
            </w:pPr>
          </w:p>
        </w:tc>
        <w:tc>
          <w:tcPr>
            <w:tcW w:w="3023" w:type="dxa"/>
            <w:vAlign w:val="center"/>
          </w:tcPr>
          <w:p>
            <w:pPr>
              <w:numPr>
                <w:ilvl w:val="0"/>
                <w:numId w:val="0"/>
              </w:numPr>
              <w:ind w:right="0" w:firstLine="0"/>
              <w:jc w:val="left"/>
              <w:rPr>
                <w:rFonts w:hint="eastAsia" w:ascii="宋体" w:hAnsi="宋体" w:eastAsia="宋体" w:cs="宋体"/>
                <w:sz w:val="24"/>
                <w:szCs w:val="24"/>
              </w:rPr>
            </w:pPr>
          </w:p>
        </w:tc>
        <w:tc>
          <w:tcPr>
            <w:tcW w:w="1148" w:type="dxa"/>
            <w:vAlign w:val="center"/>
          </w:tcPr>
          <w:p>
            <w:pPr>
              <w:numPr>
                <w:ilvl w:val="0"/>
                <w:numId w:val="0"/>
              </w:numPr>
              <w:ind w:right="0" w:firstLine="0"/>
              <w:jc w:val="left"/>
              <w:rPr>
                <w:rFonts w:hint="eastAsia" w:ascii="宋体" w:hAnsi="宋体" w:eastAsia="宋体" w:cs="宋体"/>
                <w:sz w:val="24"/>
                <w:szCs w:val="24"/>
              </w:rPr>
            </w:pPr>
          </w:p>
        </w:tc>
        <w:tc>
          <w:tcPr>
            <w:tcW w:w="1005" w:type="dxa"/>
            <w:vAlign w:val="center"/>
          </w:tcPr>
          <w:p>
            <w:pPr>
              <w:numPr>
                <w:ilvl w:val="0"/>
                <w:numId w:val="0"/>
              </w:numPr>
              <w:ind w:right="0" w:firstLine="0"/>
              <w:jc w:val="left"/>
              <w:rPr>
                <w:rFonts w:hint="eastAsia" w:ascii="宋体" w:hAnsi="宋体" w:eastAsia="宋体" w:cs="宋体"/>
                <w:sz w:val="24"/>
                <w:szCs w:val="24"/>
              </w:rPr>
            </w:pPr>
          </w:p>
        </w:tc>
        <w:tc>
          <w:tcPr>
            <w:tcW w:w="1155" w:type="dxa"/>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23" w:type="dxa"/>
            <w:gridSpan w:val="4"/>
            <w:vAlign w:val="center"/>
          </w:tcPr>
          <w:p>
            <w:pPr>
              <w:numPr>
                <w:ilvl w:val="0"/>
                <w:numId w:val="0"/>
              </w:numPr>
              <w:ind w:right="0" w:firstLine="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不含税总报价</w:t>
            </w:r>
          </w:p>
        </w:tc>
        <w:tc>
          <w:tcPr>
            <w:tcW w:w="2160" w:type="dxa"/>
            <w:gridSpan w:val="2"/>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23" w:type="dxa"/>
            <w:gridSpan w:val="4"/>
            <w:vAlign w:val="center"/>
          </w:tcPr>
          <w:p>
            <w:pPr>
              <w:numPr>
                <w:ilvl w:val="0"/>
                <w:numId w:val="0"/>
              </w:numPr>
              <w:ind w:right="0" w:firstLine="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增值税税率（付款前须提供增值税专用发票）</w:t>
            </w:r>
          </w:p>
        </w:tc>
        <w:tc>
          <w:tcPr>
            <w:tcW w:w="2160" w:type="dxa"/>
            <w:gridSpan w:val="2"/>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223" w:type="dxa"/>
            <w:gridSpan w:val="4"/>
            <w:vAlign w:val="center"/>
          </w:tcPr>
          <w:p>
            <w:pPr>
              <w:numPr>
                <w:ilvl w:val="0"/>
                <w:numId w:val="0"/>
              </w:numPr>
              <w:ind w:right="0" w:firstLine="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含税总报价</w:t>
            </w:r>
          </w:p>
        </w:tc>
        <w:tc>
          <w:tcPr>
            <w:tcW w:w="2160" w:type="dxa"/>
            <w:gridSpan w:val="2"/>
            <w:vAlign w:val="center"/>
          </w:tcPr>
          <w:p>
            <w:pPr>
              <w:numPr>
                <w:ilvl w:val="0"/>
                <w:numId w:val="0"/>
              </w:numPr>
              <w:ind w:right="0" w:firstLine="0"/>
              <w:jc w:val="left"/>
              <w:rPr>
                <w:rFonts w:hint="eastAsia" w:ascii="宋体" w:hAnsi="宋体" w:eastAsia="宋体" w:cs="宋体"/>
                <w:sz w:val="24"/>
                <w:szCs w:val="24"/>
              </w:rPr>
            </w:pPr>
          </w:p>
        </w:tc>
      </w:tr>
    </w:tbl>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二、质量要求、技术标准、供方质量负责的条件和期限：</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1.上述产品符合生产厂家出厂质量标准要求，且必须为原厂正品，出厂日期在供货日期1年之内，有原厂合格证及序列号（如有）：具体技术标准及参数以买方招标文件为准。</w:t>
      </w:r>
    </w:p>
    <w:p>
      <w:pPr>
        <w:numPr>
          <w:ilvl w:val="0"/>
          <w:numId w:val="0"/>
        </w:numPr>
        <w:ind w:right="0" w:firstLine="240" w:firstLineChars="100"/>
        <w:jc w:val="left"/>
        <w:rPr>
          <w:rFonts w:hint="eastAsia" w:ascii="宋体" w:hAnsi="宋体" w:eastAsia="宋体" w:cs="宋体"/>
          <w:sz w:val="24"/>
          <w:szCs w:val="24"/>
        </w:rPr>
      </w:pPr>
      <w:r>
        <w:rPr>
          <w:rFonts w:hint="eastAsia" w:ascii="宋体" w:hAnsi="宋体" w:eastAsia="宋体" w:cs="宋体"/>
          <w:sz w:val="24"/>
          <w:szCs w:val="24"/>
        </w:rPr>
        <w:t xml:space="preserve"> 2.</w:t>
      </w:r>
      <w:r>
        <w:rPr>
          <w:rFonts w:hint="eastAsia" w:ascii="宋体" w:hAnsi="宋体" w:eastAsia="宋体" w:cs="宋体"/>
          <w:color w:val="000000" w:themeColor="text1"/>
          <w:sz w:val="24"/>
          <w:szCs w:val="24"/>
          <w14:textFill>
            <w14:solidFill>
              <w14:schemeClr w14:val="tx1"/>
            </w14:solidFill>
          </w14:textFill>
        </w:rPr>
        <w:t>产品免费质保期≥12个月，</w:t>
      </w:r>
      <w:r>
        <w:rPr>
          <w:rFonts w:hint="eastAsia" w:ascii="宋体" w:hAnsi="宋体" w:eastAsia="宋体" w:cs="宋体"/>
          <w:sz w:val="24"/>
          <w:szCs w:val="24"/>
        </w:rPr>
        <w:t>从到货验收合格之日算起。</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三、交（提）货时间、地点：</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在合同有效期内，买方可分批次提供采购需求给卖方，卖方收到买方采购需求5日内向买方提供上述产品并按买方要求安装；交货地点为扬州泰州国际机场。</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四、费用负担：</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1.轮胎安装、动平衡及来回运输费用由卖方承担。</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2.合同总价中，包含设备/货物、随机辅件、运杂、保险、安装调试、培训费、税金、轮胎安装费、轮胎动平衡费用和轮胎来回运输费等相关费用及投标人认为需要的其它费用。</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五、验收标准、方法及提出异议期限：</w:t>
      </w:r>
    </w:p>
    <w:p>
      <w:pPr>
        <w:numPr>
          <w:ilvl w:val="0"/>
          <w:numId w:val="0"/>
        </w:numPr>
        <w:ind w:right="0" w:firstLine="0"/>
        <w:jc w:val="left"/>
        <w:rPr>
          <w:rFonts w:hint="eastAsia" w:ascii="宋体" w:hAnsi="宋体" w:eastAsia="宋体" w:cs="宋体"/>
          <w:b w:val="0"/>
          <w:sz w:val="24"/>
          <w:szCs w:val="24"/>
        </w:rPr>
      </w:pPr>
      <w:r>
        <w:rPr>
          <w:rFonts w:hint="eastAsia" w:ascii="宋体" w:hAnsi="宋体" w:eastAsia="宋体" w:cs="宋体"/>
          <w:b w:val="0"/>
          <w:sz w:val="24"/>
          <w:szCs w:val="24"/>
        </w:rPr>
        <w:t xml:space="preserve">   卖方向买方送交每个批次设备/物资时，需提供产品的合格证、保修卡等相关配套资料，并按本合同第二款规定的要求及标准验收；以上产品经检验如有质量问题，买方可在一周内提出异议，卖方免费进行退换。</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六、付款方式：</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设备/物资运抵交货地点、安装调试完成（如有）并验收合格，且买方已收到卖方提供的全额增值税专用发票后的20个工作日内，买方向卖方电汇支付发票价款。合同生效后，卖方向买方缴纳两万元人民币质量保证金，质保期满无质量问题，买方15个工作日内全额退回（无息）。</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七、违约责任与争议处理：</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1.本合同一经签订，任何一方均无权擅自终止合同（不可抗自然因素及合同约定情形除外），擅自终止方负全部责任。</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2.卖方逾期交货的时间按周为单位计算，每一周逾期交货，卖方应向买方支付合同款的千分之三违约金，卖方超过约定期一月未交货，买方有权终止合同，卖方赔偿买方由此造成的损失；买方逾期付款的时间按周为单位计算，每一周逾期付款，买方应向卖方支付合同款的千分之三违约金。</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3.如买方发现卖方提供的所有设备/物资不是原厂产品，卖方必须无条件更换正品并接受买方的退货，买方有权终止合同，由此造成的直接损失由卖方承担，并且卖方赔偿买方20％合同款。</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八、合同争议的解决：</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双方友好协商，如协商不成可诉至买方当地人民法院。</w:t>
      </w: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九、售后服务：</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1.卖方应对本项目提供质量保证，质保期内非人为损坏所发生的故障或破损，必须进场免费更换和维修。</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2.质保期内有质量问题，卖方须在接到报修通知后24小时内到达买方现场，并立即进行免费连续维修，直到排除故障，恢复正常使用。</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b/>
          <w:sz w:val="24"/>
          <w:szCs w:val="24"/>
        </w:rPr>
        <w:t>十、其它约定事项：</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1.本合同有效期为合同签字之日起一年内。</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2.合同中产品数量为概数，实际采购数量以买方书面通知为准，采购单价不变，总采购金额不超合同价的±10％。</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3.如生产厂家停止生产投标产品型号，卖方应及时书面通知买方，经买方确认后，提供型号、配置不低于原型号的投标产品。</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4.买方招标文件、卖方投标文件作为合同附件，具有同等法律效力。</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5.本协议一式陆份，中文制作，买方执肆份，卖方执贰份。</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买方：扬州泰州国际机场投资建设有限责任公司 卖方：</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（盖章）                                    （盖章）</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代表：                                      代表：</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日期：                                      日期：</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附件三：投标文件组成</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一、投标函（格式附后）</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二、报价清单（格式附后）</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三、法定代表人授权书（格式附后）</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四、合格投标人资格证明文件（包括但不限于招标文件第二条内容）</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五、投标人认为应提交的其它材料</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一、投标函（格式）</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扬州泰州国际机场投资建设有限责任公司：</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 xml:space="preserve">    ________（投标人全称）________授权______(全权代表姓名、职务）______为全权代表，参加贵方组织的_____(项目名称）______的有关活动，为此：</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1.提供投标文件规定的全部投标文件（正本___份，副本___份）。</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2.提供按招标文件要求的货物的报价为人民币（大写）_______元（RMB_____）(详见报价清单）。</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3.投标人将按招标文件的规定履行全部责任和义务。</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4.投标人已详细审查全部招标文件，我们完全理解并同意放弃对招标文件提出的质疑及/或争议的权利。</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5.愿意向贵方提供任何与该项投标文件有关的数据、情况和技术资料，完全理解贵方不一定接受最低价的投标文件或收到的任何投标文件。</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6.我方授权贵方查询或调查我们递交的与本投标文件有关的声明、文件和资料，并同意在贵方的要求下提供相关文件或证书的原件及其他相关书面材料。</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7.我方承诺：投标人在其本国使用我方提供的货物时，不存在任何已知的不合法的情形，也不存在任何已知的与第三方专利权、著作权、商标权或工业设计权相关的任何争议。如果有任何因招标人使用我方提供的货物而提起的侵权指控，我方将依法承担全部责任。</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8.我方承诺：现阶段国家没有标准的产品，在国家标准出台后我方将必须根据招标人要求无偿升级。</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9.我方承诺：从中标通知书发出/合同签订之日起____日历日内完成供货工作。</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10.我方承诺：本项目质保期___个月，质保期内非人为损坏所发生的故障或破损免费更换和维修。</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11.与本投标文件有关的一切往来联系电话（手机）：___________________;邮件地址___________________.</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right"/>
        <w:rPr>
          <w:rFonts w:hint="eastAsia" w:ascii="宋体" w:hAnsi="宋体" w:eastAsia="宋体" w:cs="宋体"/>
          <w:sz w:val="24"/>
          <w:szCs w:val="24"/>
        </w:rPr>
      </w:pPr>
      <w:r>
        <w:rPr>
          <w:rFonts w:hint="eastAsia" w:ascii="宋体" w:hAnsi="宋体" w:eastAsia="宋体" w:cs="宋体"/>
          <w:sz w:val="24"/>
          <w:szCs w:val="24"/>
        </w:rPr>
        <w:t>投标人名称（盖章）：_____________________</w:t>
      </w:r>
    </w:p>
    <w:p>
      <w:pPr>
        <w:numPr>
          <w:ilvl w:val="0"/>
          <w:numId w:val="0"/>
        </w:numPr>
        <w:ind w:right="0" w:firstLine="0"/>
        <w:jc w:val="right"/>
        <w:rPr>
          <w:rFonts w:hint="eastAsia" w:ascii="宋体" w:hAnsi="宋体" w:eastAsia="宋体" w:cs="宋体"/>
          <w:sz w:val="24"/>
          <w:szCs w:val="24"/>
        </w:rPr>
      </w:pPr>
      <w:r>
        <w:rPr>
          <w:rFonts w:hint="eastAsia" w:ascii="宋体" w:hAnsi="宋体" w:eastAsia="宋体" w:cs="宋体"/>
          <w:sz w:val="24"/>
          <w:szCs w:val="24"/>
        </w:rPr>
        <w:t>投标人代表（签字）：_____________________</w:t>
      </w:r>
    </w:p>
    <w:p>
      <w:pPr>
        <w:numPr>
          <w:ilvl w:val="0"/>
          <w:numId w:val="0"/>
        </w:numPr>
        <w:ind w:right="0" w:firstLine="0"/>
        <w:jc w:val="right"/>
        <w:rPr>
          <w:rFonts w:hint="eastAsia" w:ascii="宋体" w:hAnsi="宋体" w:eastAsia="宋体" w:cs="宋体"/>
          <w:sz w:val="24"/>
          <w:szCs w:val="24"/>
        </w:rPr>
      </w:pPr>
      <w:r>
        <w:rPr>
          <w:rFonts w:hint="eastAsia" w:ascii="宋体" w:hAnsi="宋体" w:eastAsia="宋体" w:cs="宋体"/>
          <w:sz w:val="24"/>
          <w:szCs w:val="24"/>
        </w:rPr>
        <w:t>日             期：_____________________</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二、报价清单（格式）</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项目名称：</w:t>
      </w:r>
    </w:p>
    <w:tbl>
      <w:tblPr>
        <w:tblStyle w:val="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4"/>
        <w:gridCol w:w="765"/>
        <w:gridCol w:w="1005"/>
        <w:gridCol w:w="2025"/>
        <w:gridCol w:w="1171"/>
        <w:gridCol w:w="1421"/>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vAlign w:val="center"/>
          </w:tcPr>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序号</w:t>
            </w:r>
          </w:p>
        </w:tc>
        <w:tc>
          <w:tcPr>
            <w:tcW w:w="1770" w:type="dxa"/>
            <w:gridSpan w:val="2"/>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品名</w:t>
            </w:r>
          </w:p>
        </w:tc>
        <w:tc>
          <w:tcPr>
            <w:tcW w:w="2025"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型号及配置参数</w:t>
            </w:r>
          </w:p>
        </w:tc>
        <w:tc>
          <w:tcPr>
            <w:tcW w:w="1171"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421"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不含税</w:t>
            </w:r>
          </w:p>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单价（元）</w:t>
            </w:r>
          </w:p>
        </w:tc>
        <w:tc>
          <w:tcPr>
            <w:tcW w:w="1421"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不含税</w:t>
            </w:r>
          </w:p>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1</w:t>
            </w:r>
          </w:p>
        </w:tc>
        <w:tc>
          <w:tcPr>
            <w:tcW w:w="1770" w:type="dxa"/>
            <w:gridSpan w:val="2"/>
            <w:vAlign w:val="center"/>
          </w:tcPr>
          <w:p>
            <w:pPr>
              <w:numPr>
                <w:ilvl w:val="0"/>
                <w:numId w:val="0"/>
              </w:numPr>
              <w:ind w:right="0" w:firstLine="0"/>
              <w:jc w:val="left"/>
              <w:rPr>
                <w:rFonts w:hint="eastAsia" w:ascii="宋体" w:hAnsi="宋体" w:eastAsia="宋体" w:cs="宋体"/>
                <w:sz w:val="24"/>
                <w:szCs w:val="24"/>
              </w:rPr>
            </w:pPr>
          </w:p>
        </w:tc>
        <w:tc>
          <w:tcPr>
            <w:tcW w:w="2025" w:type="dxa"/>
            <w:vAlign w:val="center"/>
          </w:tcPr>
          <w:p>
            <w:pPr>
              <w:numPr>
                <w:ilvl w:val="0"/>
                <w:numId w:val="0"/>
              </w:numPr>
              <w:ind w:right="0" w:firstLine="0"/>
              <w:jc w:val="left"/>
              <w:rPr>
                <w:rFonts w:hint="eastAsia" w:ascii="宋体" w:hAnsi="宋体" w:eastAsia="宋体" w:cs="宋体"/>
                <w:sz w:val="24"/>
                <w:szCs w:val="24"/>
              </w:rPr>
            </w:pPr>
          </w:p>
        </w:tc>
        <w:tc>
          <w:tcPr>
            <w:tcW w:w="1171" w:type="dxa"/>
            <w:vAlign w:val="center"/>
          </w:tcPr>
          <w:p>
            <w:pPr>
              <w:numPr>
                <w:ilvl w:val="0"/>
                <w:numId w:val="0"/>
              </w:numPr>
              <w:ind w:right="0" w:firstLine="0"/>
              <w:jc w:val="left"/>
              <w:rPr>
                <w:rFonts w:hint="eastAsia" w:ascii="宋体" w:hAnsi="宋体" w:eastAsia="宋体" w:cs="宋体"/>
                <w:sz w:val="24"/>
                <w:szCs w:val="24"/>
              </w:rPr>
            </w:pPr>
          </w:p>
        </w:tc>
        <w:tc>
          <w:tcPr>
            <w:tcW w:w="1421" w:type="dxa"/>
            <w:vAlign w:val="center"/>
          </w:tcPr>
          <w:p>
            <w:pPr>
              <w:numPr>
                <w:ilvl w:val="0"/>
                <w:numId w:val="0"/>
              </w:numPr>
              <w:ind w:right="0" w:firstLine="0"/>
              <w:jc w:val="left"/>
              <w:rPr>
                <w:rFonts w:hint="eastAsia" w:ascii="宋体" w:hAnsi="宋体" w:eastAsia="宋体" w:cs="宋体"/>
                <w:sz w:val="24"/>
                <w:szCs w:val="24"/>
              </w:rPr>
            </w:pPr>
          </w:p>
        </w:tc>
        <w:tc>
          <w:tcPr>
            <w:tcW w:w="1421" w:type="dxa"/>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2</w:t>
            </w:r>
          </w:p>
        </w:tc>
        <w:tc>
          <w:tcPr>
            <w:tcW w:w="1770" w:type="dxa"/>
            <w:gridSpan w:val="2"/>
            <w:vAlign w:val="center"/>
          </w:tcPr>
          <w:p>
            <w:pPr>
              <w:numPr>
                <w:ilvl w:val="0"/>
                <w:numId w:val="0"/>
              </w:numPr>
              <w:ind w:right="0" w:firstLine="0"/>
              <w:jc w:val="left"/>
              <w:rPr>
                <w:rFonts w:hint="eastAsia" w:ascii="宋体" w:hAnsi="宋体" w:eastAsia="宋体" w:cs="宋体"/>
                <w:sz w:val="24"/>
                <w:szCs w:val="24"/>
              </w:rPr>
            </w:pPr>
          </w:p>
        </w:tc>
        <w:tc>
          <w:tcPr>
            <w:tcW w:w="2025" w:type="dxa"/>
            <w:vAlign w:val="center"/>
          </w:tcPr>
          <w:p>
            <w:pPr>
              <w:numPr>
                <w:ilvl w:val="0"/>
                <w:numId w:val="0"/>
              </w:numPr>
              <w:ind w:right="0" w:firstLine="0"/>
              <w:jc w:val="left"/>
              <w:rPr>
                <w:rFonts w:hint="eastAsia" w:ascii="宋体" w:hAnsi="宋体" w:eastAsia="宋体" w:cs="宋体"/>
                <w:sz w:val="24"/>
                <w:szCs w:val="24"/>
              </w:rPr>
            </w:pPr>
          </w:p>
        </w:tc>
        <w:tc>
          <w:tcPr>
            <w:tcW w:w="1171" w:type="dxa"/>
            <w:vAlign w:val="center"/>
          </w:tcPr>
          <w:p>
            <w:pPr>
              <w:numPr>
                <w:ilvl w:val="0"/>
                <w:numId w:val="0"/>
              </w:numPr>
              <w:ind w:right="0" w:firstLine="0"/>
              <w:jc w:val="left"/>
              <w:rPr>
                <w:rFonts w:hint="eastAsia" w:ascii="宋体" w:hAnsi="宋体" w:eastAsia="宋体" w:cs="宋体"/>
                <w:sz w:val="24"/>
                <w:szCs w:val="24"/>
              </w:rPr>
            </w:pPr>
          </w:p>
        </w:tc>
        <w:tc>
          <w:tcPr>
            <w:tcW w:w="1421" w:type="dxa"/>
            <w:vAlign w:val="center"/>
          </w:tcPr>
          <w:p>
            <w:pPr>
              <w:numPr>
                <w:ilvl w:val="0"/>
                <w:numId w:val="0"/>
              </w:numPr>
              <w:ind w:right="0" w:firstLine="0"/>
              <w:jc w:val="left"/>
              <w:rPr>
                <w:rFonts w:hint="eastAsia" w:ascii="宋体" w:hAnsi="宋体" w:eastAsia="宋体" w:cs="宋体"/>
                <w:sz w:val="24"/>
                <w:szCs w:val="24"/>
              </w:rPr>
            </w:pPr>
          </w:p>
        </w:tc>
        <w:tc>
          <w:tcPr>
            <w:tcW w:w="1421" w:type="dxa"/>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3</w:t>
            </w:r>
          </w:p>
        </w:tc>
        <w:tc>
          <w:tcPr>
            <w:tcW w:w="1770" w:type="dxa"/>
            <w:gridSpan w:val="2"/>
            <w:vAlign w:val="center"/>
          </w:tcPr>
          <w:p>
            <w:pPr>
              <w:numPr>
                <w:ilvl w:val="0"/>
                <w:numId w:val="0"/>
              </w:numPr>
              <w:ind w:right="0" w:firstLine="0"/>
              <w:jc w:val="left"/>
              <w:rPr>
                <w:rFonts w:hint="eastAsia" w:ascii="宋体" w:hAnsi="宋体" w:eastAsia="宋体" w:cs="宋体"/>
                <w:sz w:val="24"/>
                <w:szCs w:val="24"/>
              </w:rPr>
            </w:pPr>
          </w:p>
        </w:tc>
        <w:tc>
          <w:tcPr>
            <w:tcW w:w="2025" w:type="dxa"/>
            <w:vAlign w:val="center"/>
          </w:tcPr>
          <w:p>
            <w:pPr>
              <w:numPr>
                <w:ilvl w:val="0"/>
                <w:numId w:val="0"/>
              </w:numPr>
              <w:ind w:right="0" w:firstLine="0"/>
              <w:jc w:val="left"/>
              <w:rPr>
                <w:rFonts w:hint="eastAsia" w:ascii="宋体" w:hAnsi="宋体" w:eastAsia="宋体" w:cs="宋体"/>
                <w:sz w:val="24"/>
                <w:szCs w:val="24"/>
              </w:rPr>
            </w:pPr>
          </w:p>
        </w:tc>
        <w:tc>
          <w:tcPr>
            <w:tcW w:w="1171" w:type="dxa"/>
            <w:vAlign w:val="center"/>
          </w:tcPr>
          <w:p>
            <w:pPr>
              <w:numPr>
                <w:ilvl w:val="0"/>
                <w:numId w:val="0"/>
              </w:numPr>
              <w:ind w:right="0" w:firstLine="0"/>
              <w:jc w:val="left"/>
              <w:rPr>
                <w:rFonts w:hint="eastAsia" w:ascii="宋体" w:hAnsi="宋体" w:eastAsia="宋体" w:cs="宋体"/>
                <w:sz w:val="24"/>
                <w:szCs w:val="24"/>
              </w:rPr>
            </w:pPr>
          </w:p>
        </w:tc>
        <w:tc>
          <w:tcPr>
            <w:tcW w:w="1421" w:type="dxa"/>
            <w:vAlign w:val="center"/>
          </w:tcPr>
          <w:p>
            <w:pPr>
              <w:numPr>
                <w:ilvl w:val="0"/>
                <w:numId w:val="0"/>
              </w:numPr>
              <w:ind w:right="0" w:firstLine="0"/>
              <w:jc w:val="left"/>
              <w:rPr>
                <w:rFonts w:hint="eastAsia" w:ascii="宋体" w:hAnsi="宋体" w:eastAsia="宋体" w:cs="宋体"/>
                <w:sz w:val="24"/>
                <w:szCs w:val="24"/>
              </w:rPr>
            </w:pPr>
          </w:p>
        </w:tc>
        <w:tc>
          <w:tcPr>
            <w:tcW w:w="1421" w:type="dxa"/>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0" w:type="dxa"/>
            <w:gridSpan w:val="5"/>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不含税总报价（1＋……）</w:t>
            </w:r>
          </w:p>
        </w:tc>
        <w:tc>
          <w:tcPr>
            <w:tcW w:w="2842" w:type="dxa"/>
            <w:gridSpan w:val="2"/>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0" w:type="dxa"/>
            <w:gridSpan w:val="5"/>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增值税税率（付款前须提供增值税专用发票）</w:t>
            </w:r>
          </w:p>
        </w:tc>
        <w:tc>
          <w:tcPr>
            <w:tcW w:w="2842" w:type="dxa"/>
            <w:gridSpan w:val="2"/>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0" w:type="dxa"/>
            <w:gridSpan w:val="5"/>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含税总报价</w:t>
            </w:r>
          </w:p>
        </w:tc>
        <w:tc>
          <w:tcPr>
            <w:tcW w:w="2842" w:type="dxa"/>
            <w:gridSpan w:val="2"/>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79" w:type="dxa"/>
            <w:gridSpan w:val="2"/>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供货期</w:t>
            </w:r>
          </w:p>
        </w:tc>
        <w:tc>
          <w:tcPr>
            <w:tcW w:w="3030" w:type="dxa"/>
            <w:gridSpan w:val="2"/>
            <w:vAlign w:val="center"/>
          </w:tcPr>
          <w:p>
            <w:pPr>
              <w:numPr>
                <w:ilvl w:val="0"/>
                <w:numId w:val="0"/>
              </w:numPr>
              <w:ind w:right="0" w:firstLine="0"/>
              <w:jc w:val="left"/>
              <w:rPr>
                <w:rFonts w:hint="eastAsia" w:ascii="宋体" w:hAnsi="宋体" w:eastAsia="宋体" w:cs="宋体"/>
                <w:sz w:val="24"/>
                <w:szCs w:val="24"/>
              </w:rPr>
            </w:pPr>
          </w:p>
        </w:tc>
        <w:tc>
          <w:tcPr>
            <w:tcW w:w="1171"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质保期</w:t>
            </w:r>
          </w:p>
        </w:tc>
        <w:tc>
          <w:tcPr>
            <w:tcW w:w="2842" w:type="dxa"/>
            <w:gridSpan w:val="2"/>
            <w:vAlign w:val="center"/>
          </w:tcPr>
          <w:p>
            <w:pPr>
              <w:numPr>
                <w:ilvl w:val="0"/>
                <w:numId w:val="0"/>
              </w:numPr>
              <w:ind w:right="0" w:firstLine="0"/>
              <w:jc w:val="left"/>
              <w:rPr>
                <w:rFonts w:hint="eastAsia" w:ascii="宋体" w:hAnsi="宋体" w:eastAsia="宋体" w:cs="宋体"/>
                <w:sz w:val="24"/>
                <w:szCs w:val="24"/>
              </w:rPr>
            </w:pPr>
          </w:p>
        </w:tc>
      </w:tr>
    </w:tbl>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注：1.总报价包含设备/物资、随机附件、到扬州泰州国际机场运保费、安装调试费、培训费等相关费用及投标人认为需要的其它费用。</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2.型号及配置参数需完全满足招标文件要求，否则可能被作废标处理。</w:t>
      </w: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3.含税总报价为评标依据。</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投标人授权代表签字:                投标人全称（盖章）：</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pageBreakBefore w:val="0"/>
        <w:wordWrap w:val="0"/>
        <w:autoSpaceDE/>
        <w:autoSpaceDN/>
        <w:bidi w:val="0"/>
        <w:snapToGrid/>
        <w:spacing w:after="240"/>
        <w:jc w:val="center"/>
        <w:rPr>
          <w:rFonts w:hint="eastAsia" w:ascii="宋体" w:hAnsi="宋体" w:eastAsia="宋体" w:cs="宋体"/>
          <w:b/>
          <w:sz w:val="24"/>
          <w:szCs w:val="24"/>
        </w:rPr>
      </w:pPr>
    </w:p>
    <w:p>
      <w:pPr>
        <w:pageBreakBefore w:val="0"/>
        <w:wordWrap w:val="0"/>
        <w:autoSpaceDE/>
        <w:autoSpaceDN/>
        <w:bidi w:val="0"/>
        <w:snapToGrid/>
        <w:spacing w:after="240"/>
        <w:jc w:val="center"/>
        <w:rPr>
          <w:rFonts w:hint="eastAsia" w:ascii="宋体" w:hAnsi="宋体" w:eastAsia="宋体" w:cs="宋体"/>
          <w:b/>
          <w:sz w:val="24"/>
          <w:szCs w:val="24"/>
        </w:rPr>
      </w:pPr>
    </w:p>
    <w:p>
      <w:pPr>
        <w:pageBreakBefore w:val="0"/>
        <w:wordWrap w:val="0"/>
        <w:autoSpaceDE/>
        <w:autoSpaceDN/>
        <w:bidi w:val="0"/>
        <w:snapToGrid/>
        <w:spacing w:after="240"/>
        <w:jc w:val="center"/>
        <w:rPr>
          <w:rFonts w:hint="eastAsia" w:ascii="宋体" w:hAnsi="宋体" w:eastAsia="宋体" w:cs="宋体"/>
          <w:b/>
          <w:sz w:val="24"/>
          <w:szCs w:val="24"/>
        </w:rPr>
      </w:pPr>
    </w:p>
    <w:p>
      <w:pPr>
        <w:pageBreakBefore w:val="0"/>
        <w:wordWrap w:val="0"/>
        <w:autoSpaceDE/>
        <w:autoSpaceDN/>
        <w:bidi w:val="0"/>
        <w:snapToGrid/>
        <w:spacing w:after="240"/>
        <w:jc w:val="center"/>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rPr>
        <w:t>三、法定代表人授权书（格式）</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本授权书声明：注册于[</w:t>
      </w:r>
      <w:r>
        <w:rPr>
          <w:rFonts w:hint="eastAsia" w:ascii="宋体" w:hAnsi="宋体" w:eastAsia="宋体" w:cs="宋体"/>
          <w:sz w:val="24"/>
          <w:szCs w:val="24"/>
          <w:u w:val="single"/>
        </w:rPr>
        <w:t>国家或地区的名称</w:t>
      </w:r>
      <w:r>
        <w:rPr>
          <w:rFonts w:hint="eastAsia" w:ascii="宋体" w:hAnsi="宋体" w:eastAsia="宋体" w:cs="宋体"/>
          <w:sz w:val="24"/>
          <w:szCs w:val="24"/>
        </w:rPr>
        <w:t>]的[</w:t>
      </w:r>
      <w:r>
        <w:rPr>
          <w:rFonts w:hint="eastAsia" w:ascii="宋体" w:hAnsi="宋体" w:eastAsia="宋体" w:cs="宋体"/>
          <w:sz w:val="24"/>
          <w:szCs w:val="24"/>
          <w:u w:val="single"/>
        </w:rPr>
        <w:t>公司名称</w:t>
      </w:r>
      <w:r>
        <w:rPr>
          <w:rFonts w:hint="eastAsia" w:ascii="宋体" w:hAnsi="宋体" w:eastAsia="宋体" w:cs="宋体"/>
          <w:sz w:val="24"/>
          <w:szCs w:val="24"/>
        </w:rPr>
        <w:t>]的在下面签字的[</w:t>
      </w:r>
      <w:r>
        <w:rPr>
          <w:rFonts w:hint="eastAsia" w:ascii="宋体" w:hAnsi="宋体" w:eastAsia="宋体" w:cs="宋体"/>
          <w:sz w:val="24"/>
          <w:szCs w:val="24"/>
          <w:u w:val="single"/>
        </w:rPr>
        <w:t>法定代表人姓名、职务</w:t>
      </w:r>
      <w:r>
        <w:rPr>
          <w:rFonts w:hint="eastAsia" w:ascii="宋体" w:hAnsi="宋体" w:eastAsia="宋体" w:cs="宋体"/>
          <w:sz w:val="24"/>
          <w:szCs w:val="24"/>
        </w:rPr>
        <w:t>]代表本公司授权[</w:t>
      </w:r>
      <w:r>
        <w:rPr>
          <w:rFonts w:hint="eastAsia" w:ascii="宋体" w:hAnsi="宋体" w:eastAsia="宋体" w:cs="宋体"/>
          <w:sz w:val="24"/>
          <w:szCs w:val="24"/>
          <w:u w:val="single"/>
        </w:rPr>
        <w:t>单位名称</w:t>
      </w:r>
      <w:r>
        <w:rPr>
          <w:rFonts w:hint="eastAsia" w:ascii="宋体" w:hAnsi="宋体" w:eastAsia="宋体" w:cs="宋体"/>
          <w:sz w:val="24"/>
          <w:szCs w:val="24"/>
        </w:rPr>
        <w:t>]的在下面签字的[</w:t>
      </w:r>
      <w:r>
        <w:rPr>
          <w:rFonts w:hint="eastAsia" w:ascii="宋体" w:hAnsi="宋体" w:eastAsia="宋体" w:cs="宋体"/>
          <w:sz w:val="24"/>
          <w:szCs w:val="24"/>
          <w:u w:val="single"/>
        </w:rPr>
        <w:t>被授权人的姓名、职务</w:t>
      </w:r>
      <w:r>
        <w:rPr>
          <w:rFonts w:hint="eastAsia" w:ascii="宋体" w:hAnsi="宋体" w:eastAsia="宋体" w:cs="宋体"/>
          <w:sz w:val="24"/>
          <w:szCs w:val="24"/>
        </w:rPr>
        <w:t>]为本公司的合法代理人，就[</w:t>
      </w:r>
      <w:r>
        <w:rPr>
          <w:rFonts w:hint="eastAsia" w:ascii="宋体" w:hAnsi="宋体" w:eastAsia="宋体" w:cs="宋体"/>
          <w:sz w:val="24"/>
          <w:szCs w:val="24"/>
          <w:u w:val="single"/>
        </w:rPr>
        <w:t>项目名称</w:t>
      </w:r>
      <w:r>
        <w:rPr>
          <w:rFonts w:hint="eastAsia" w:ascii="宋体" w:hAnsi="宋体" w:eastAsia="宋体" w:cs="宋体"/>
          <w:sz w:val="24"/>
          <w:szCs w:val="24"/>
        </w:rPr>
        <w:t>]参与投标，以本公司名义处理一切与之有关的事务。</w:t>
      </w:r>
    </w:p>
    <w:p>
      <w:pPr>
        <w:spacing w:after="720" w:line="360" w:lineRule="auto"/>
        <w:rPr>
          <w:rFonts w:hint="eastAsia" w:ascii="宋体" w:hAnsi="宋体" w:eastAsia="宋体" w:cs="宋体"/>
          <w:sz w:val="24"/>
          <w:szCs w:val="24"/>
        </w:rPr>
      </w:pPr>
      <w:r>
        <w:rPr>
          <w:rFonts w:hint="eastAsia" w:ascii="宋体" w:hAnsi="宋体" w:eastAsia="宋体" w:cs="宋体"/>
          <w:sz w:val="24"/>
          <w:szCs w:val="24"/>
        </w:rPr>
        <w:t xml:space="preserve">    本授权书于[]年[]月[]日签字生效，特此声明。</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投标人名称（盖章）</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法定代表人签字</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被授权人签字</w:t>
      </w:r>
    </w:p>
    <w:p>
      <w:pPr>
        <w:snapToGrid w:val="0"/>
        <w:spacing w:line="360" w:lineRule="auto"/>
        <w:rPr>
          <w:rFonts w:hint="eastAsia" w:ascii="宋体" w:hAnsi="宋体" w:eastAsia="宋体" w:cs="宋体"/>
          <w:b/>
          <w:sz w:val="24"/>
          <w:szCs w:val="24"/>
        </w:rPr>
      </w:pPr>
      <w:r>
        <w:rPr>
          <w:rFonts w:hint="eastAsia" w:ascii="宋体" w:hAnsi="宋体" w:eastAsia="宋体" w:cs="宋体"/>
          <w:sz w:val="24"/>
          <w:szCs w:val="24"/>
          <w:u w:val="single"/>
        </w:rPr>
        <w:t>注：投标人非法定代表人签署文件，须提供授权书。</w:t>
      </w:r>
    </w:p>
    <w:p>
      <w:pPr>
        <w:numPr>
          <w:ilvl w:val="0"/>
          <w:numId w:val="0"/>
        </w:numPr>
        <w:ind w:right="0" w:firstLine="0"/>
        <w:jc w:val="left"/>
        <w:rPr>
          <w:rFonts w:hint="eastAsia" w:ascii="宋体" w:hAnsi="宋体" w:eastAsia="宋体" w:cs="宋体"/>
          <w:sz w:val="24"/>
          <w:szCs w:val="24"/>
        </w:rPr>
      </w:pPr>
    </w:p>
    <w:sectPr>
      <w:pgSz w:w="11906" w:h="16838"/>
      <w:pgMar w:top="1440" w:right="1800" w:bottom="1440" w:left="1800" w:header="851" w:footer="992" w:gutter="0"/>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multilevel"/>
    <w:tmpl w:val="2F000000"/>
    <w:lvl w:ilvl="0" w:tentative="0">
      <w:start w:val="1"/>
      <w:numFmt w:val="chineseCounting"/>
      <w:suff w:val="nothing"/>
      <w:lvlText w:val="%1、"/>
      <w:lvlJc w:val="left"/>
      <w:rPr>
        <w:rFonts w:hint="eastAsia"/>
      </w:rPr>
    </w:lvl>
    <w:lvl w:ilvl="1" w:tentative="0">
      <w:start w:val="1"/>
      <w:numFmt w:val="chineseCounting"/>
      <w:suff w:val="nothing"/>
      <w:lvlText w:val="%1、"/>
      <w:lvlJc w:val="left"/>
      <w:rPr>
        <w:rFonts w:hint="eastAsia"/>
      </w:rPr>
    </w:lvl>
    <w:lvl w:ilvl="2" w:tentative="0">
      <w:start w:val="1"/>
      <w:numFmt w:val="chineseCounting"/>
      <w:suff w:val="nothing"/>
      <w:lvlText w:val="%1、"/>
      <w:lvlJc w:val="left"/>
      <w:rPr>
        <w:rFonts w:hint="eastAsia"/>
      </w:rPr>
    </w:lvl>
    <w:lvl w:ilvl="3" w:tentative="0">
      <w:start w:val="1"/>
      <w:numFmt w:val="chineseCounting"/>
      <w:suff w:val="nothing"/>
      <w:lvlText w:val="%1、"/>
      <w:lvlJc w:val="left"/>
      <w:rPr>
        <w:rFonts w:hint="eastAsia"/>
      </w:rPr>
    </w:lvl>
    <w:lvl w:ilvl="4" w:tentative="0">
      <w:start w:val="1"/>
      <w:numFmt w:val="chineseCounting"/>
      <w:suff w:val="nothing"/>
      <w:lvlText w:val="%1、"/>
      <w:lvlJc w:val="left"/>
      <w:rPr>
        <w:rFonts w:hint="eastAsia"/>
      </w:rPr>
    </w:lvl>
    <w:lvl w:ilvl="5" w:tentative="0">
      <w:start w:val="1"/>
      <w:numFmt w:val="chineseCounting"/>
      <w:suff w:val="nothing"/>
      <w:lvlText w:val="%1、"/>
      <w:lvlJc w:val="left"/>
      <w:rPr>
        <w:rFonts w:hint="eastAsia"/>
      </w:rPr>
    </w:lvl>
    <w:lvl w:ilvl="6" w:tentative="0">
      <w:start w:val="1"/>
      <w:numFmt w:val="chineseCounting"/>
      <w:suff w:val="nothing"/>
      <w:lvlText w:val="%1、"/>
      <w:lvlJc w:val="left"/>
      <w:rPr>
        <w:rFonts w:hint="eastAsia"/>
      </w:rPr>
    </w:lvl>
    <w:lvl w:ilvl="7" w:tentative="0">
      <w:start w:val="1"/>
      <w:numFmt w:val="chineseCounting"/>
      <w:suff w:val="nothing"/>
      <w:lvlText w:val="%1、"/>
      <w:lvlJc w:val="left"/>
      <w:rPr>
        <w:rFonts w:hint="eastAsia"/>
      </w:rPr>
    </w:lvl>
    <w:lvl w:ilvl="8"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rsids>
    <w:rsidRoot w:val="00000000"/>
    <w:rsid w:val="03854276"/>
    <w:rsid w:val="0727226D"/>
    <w:rsid w:val="15254809"/>
    <w:rsid w:val="17606755"/>
    <w:rsid w:val="337B5B90"/>
    <w:rsid w:val="403D0100"/>
    <w:rsid w:val="74891247"/>
    <w:rsid w:val="7D0546EF"/>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heme="minorHAnsi" w:hAnsiTheme="minorHAnsi" w:eastAsiaTheme="minorEastAsia" w:cstheme="minorBidi"/>
      <w:sz w:val="21"/>
      <w:szCs w:val="21"/>
    </w:rPr>
  </w:style>
  <w:style w:type="character" w:default="1" w:styleId="4">
    <w:name w:val="Default Paragraph Font"/>
    <w:semiHidden/>
    <w:qFormat/>
    <w:uiPriority w:val="2"/>
  </w:style>
  <w:style w:type="table" w:default="1" w:styleId="2">
    <w:name w:val="Normal Table"/>
    <w:semiHidden/>
    <w:qFormat/>
    <w:uiPriority w:val="3"/>
    <w:tblPr>
      <w:tblCellMar>
        <w:top w:w="0" w:type="dxa"/>
        <w:left w:w="108" w:type="dxa"/>
        <w:bottom w:w="0" w:type="dxa"/>
        <w:right w:w="108" w:type="dxa"/>
      </w:tblCellMar>
    </w:tblPr>
  </w:style>
  <w:style w:type="table" w:styleId="3">
    <w:name w:val="Table Grid"/>
    <w:basedOn w:val="2"/>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0</Words>
  <Characters>0</Characters>
  <Lines>0</Lines>
  <Paragraphs>0</Paragraphs>
  <TotalTime>22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2020-02-25T03:16:00Z</dcterms:created>
  <dc:creator>Mr.曹</dc:creator>
  <cp:lastModifiedBy>Windows</cp:lastModifiedBy>
  <dcterms:modified xsi:type="dcterms:W3CDTF">2020-03-12T14:16:20Z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