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15" w:rsidRDefault="00AC68BB" w:rsidP="00CE3015">
      <w:pPr>
        <w:spacing w:line="220" w:lineRule="atLeas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附件：</w:t>
      </w:r>
    </w:p>
    <w:p w:rsidR="00332E2B" w:rsidRDefault="00332E2B" w:rsidP="00CE3015">
      <w:pPr>
        <w:spacing w:line="220" w:lineRule="atLeast"/>
        <w:rPr>
          <w:rFonts w:ascii="宋体" w:eastAsia="宋体" w:hAnsi="宋体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Look w:val="04A0"/>
      </w:tblPr>
      <w:tblGrid>
        <w:gridCol w:w="1150"/>
        <w:gridCol w:w="8489"/>
      </w:tblGrid>
      <w:tr w:rsidR="00CE3015" w:rsidRPr="007964E0" w:rsidTr="00EA5D64">
        <w:trPr>
          <w:trHeight w:val="32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b/>
                <w:sz w:val="21"/>
              </w:rPr>
            </w:pPr>
            <w:r w:rsidRPr="007964E0">
              <w:rPr>
                <w:rFonts w:hAnsi="宋体" w:hint="eastAsia"/>
                <w:b/>
                <w:sz w:val="21"/>
              </w:rPr>
              <w:t>项 目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b/>
                <w:sz w:val="21"/>
              </w:rPr>
            </w:pPr>
            <w:r w:rsidRPr="007964E0">
              <w:rPr>
                <w:rFonts w:hAnsi="宋体" w:hint="eastAsia"/>
                <w:b/>
                <w:sz w:val="21"/>
              </w:rPr>
              <w:t>评  分  标  准</w:t>
            </w:r>
          </w:p>
        </w:tc>
      </w:tr>
      <w:tr w:rsidR="00CE3015" w:rsidRPr="007964E0" w:rsidTr="00EA5D64">
        <w:trPr>
          <w:trHeight w:val="100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161972" w:rsidRDefault="00CE3015" w:rsidP="00EA5D6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161972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投标报价</w:t>
            </w:r>
          </w:p>
          <w:p w:rsidR="00CE3015" w:rsidRPr="00161972" w:rsidRDefault="00CE3015" w:rsidP="00EA5D6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161972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</w:t>
            </w:r>
            <w:r w:rsidRPr="00161972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10</w:t>
            </w:r>
            <w:r w:rsidRPr="00161972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分）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161972" w:rsidRDefault="00CE3015" w:rsidP="00EA5D64">
            <w:pPr>
              <w:spacing w:line="400" w:lineRule="exact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161972">
              <w:rPr>
                <w:rFonts w:ascii="宋体" w:eastAsia="宋体" w:hAnsi="宋体" w:cs="Times New Roman"/>
                <w:color w:val="FF0000"/>
                <w:spacing w:val="-2"/>
                <w:sz w:val="21"/>
                <w:szCs w:val="21"/>
              </w:rPr>
              <w:t xml:space="preserve">以满足招标文件要求的报价平均值为基准价，得 </w:t>
            </w:r>
            <w:r w:rsidRPr="0016197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10</w:t>
            </w:r>
            <w:r w:rsidRPr="00161972">
              <w:rPr>
                <w:rFonts w:ascii="宋体" w:eastAsia="宋体" w:hAnsi="宋体" w:cs="Times New Roman"/>
                <w:color w:val="FF0000"/>
                <w:spacing w:val="-7"/>
                <w:sz w:val="21"/>
                <w:szCs w:val="21"/>
              </w:rPr>
              <w:t>分，评标价相对评标基准</w:t>
            </w:r>
            <w:r w:rsidRPr="00161972">
              <w:rPr>
                <w:rFonts w:ascii="宋体" w:eastAsia="宋体" w:hAnsi="宋体" w:cs="Times New Roman"/>
                <w:color w:val="FF0000"/>
                <w:spacing w:val="-19"/>
                <w:sz w:val="21"/>
                <w:szCs w:val="21"/>
              </w:rPr>
              <w:t xml:space="preserve">价每高 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1</w:t>
            </w:r>
            <w:r w:rsidRPr="00161972">
              <w:rPr>
                <w:rFonts w:ascii="宋体" w:eastAsia="宋体" w:hAnsi="宋体" w:cs="Times New Roman"/>
                <w:color w:val="FF0000"/>
                <w:spacing w:val="-11"/>
                <w:sz w:val="21"/>
                <w:szCs w:val="21"/>
              </w:rPr>
              <w:t xml:space="preserve">%扣减 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0.9</w:t>
            </w:r>
            <w:r w:rsidRPr="00161972">
              <w:rPr>
                <w:rFonts w:ascii="宋体" w:eastAsia="宋体" w:hAnsi="宋体" w:cs="Times New Roman"/>
                <w:color w:val="FF0000"/>
                <w:spacing w:val="-20"/>
                <w:sz w:val="21"/>
                <w:szCs w:val="21"/>
              </w:rPr>
              <w:t xml:space="preserve"> 分；每低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1%</w:t>
            </w:r>
            <w:r w:rsidRPr="00161972">
              <w:rPr>
                <w:rFonts w:ascii="宋体" w:eastAsia="宋体" w:hAnsi="宋体" w:cs="Times New Roman"/>
                <w:color w:val="FF0000"/>
                <w:spacing w:val="-14"/>
                <w:sz w:val="21"/>
                <w:szCs w:val="21"/>
              </w:rPr>
              <w:t xml:space="preserve">扣减 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0.6</w:t>
            </w:r>
            <w:r w:rsidRPr="00161972">
              <w:rPr>
                <w:rFonts w:ascii="宋体" w:eastAsia="宋体" w:hAnsi="宋体" w:cs="Times New Roman"/>
                <w:color w:val="FF0000"/>
                <w:spacing w:val="-16"/>
                <w:sz w:val="21"/>
                <w:szCs w:val="21"/>
              </w:rPr>
              <w:t xml:space="preserve"> 分；偏离不足 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1%</w:t>
            </w:r>
            <w:r w:rsidRPr="00161972">
              <w:rPr>
                <w:rFonts w:ascii="宋体" w:eastAsia="宋体" w:hAnsi="宋体" w:cs="Times New Roman"/>
                <w:color w:val="FF0000"/>
                <w:spacing w:val="-2"/>
                <w:sz w:val="21"/>
                <w:szCs w:val="21"/>
              </w:rPr>
              <w:t>的，按照插入法</w:t>
            </w:r>
            <w:r w:rsidRPr="00161972">
              <w:rPr>
                <w:rFonts w:ascii="宋体" w:eastAsia="宋体" w:hAnsi="宋体" w:cs="Times New Roman"/>
                <w:color w:val="FF0000"/>
                <w:sz w:val="21"/>
                <w:szCs w:val="21"/>
              </w:rPr>
              <w:t>计算得分，保留两位小数。</w:t>
            </w:r>
          </w:p>
        </w:tc>
      </w:tr>
      <w:tr w:rsidR="00CE3015" w:rsidRPr="007964E0" w:rsidTr="00EA5D64">
        <w:trPr>
          <w:trHeight w:val="9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保险方案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（30分）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1.</w:t>
            </w:r>
            <w:proofErr w:type="gramStart"/>
            <w:r w:rsidRPr="007964E0">
              <w:rPr>
                <w:rFonts w:hAnsi="宋体" w:hint="eastAsia"/>
                <w:sz w:val="21"/>
              </w:rPr>
              <w:t>完全响应</w:t>
            </w:r>
            <w:proofErr w:type="gramEnd"/>
            <w:r w:rsidRPr="007964E0">
              <w:rPr>
                <w:rFonts w:hAnsi="宋体" w:hint="eastAsia"/>
                <w:sz w:val="21"/>
              </w:rPr>
              <w:t>招标文件项目需求,得10分；有一条未响应扣1分，最多扣10分。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2.响应文件中附加扩展条款增减情况（10分）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bCs/>
                <w:sz w:val="21"/>
              </w:rPr>
            </w:pPr>
            <w:r w:rsidRPr="007964E0">
              <w:rPr>
                <w:rFonts w:hAnsi="宋体" w:hint="eastAsia"/>
                <w:bCs/>
                <w:sz w:val="21"/>
              </w:rPr>
              <w:t>(1)每增加一条有利于被保险人的附加(扩展)条款，加2分，最多加10分。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bCs/>
                <w:sz w:val="21"/>
              </w:rPr>
              <w:t>(2)每增加一条限制被保险人的附加(扩展)条款，扣2分，最多扣10分。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3.响应文件中特别约定增减情况（10分）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bCs/>
                <w:sz w:val="21"/>
              </w:rPr>
            </w:pPr>
            <w:r w:rsidRPr="007964E0">
              <w:rPr>
                <w:rFonts w:hAnsi="宋体" w:hint="eastAsia"/>
                <w:bCs/>
                <w:sz w:val="21"/>
              </w:rPr>
              <w:t>(1)每增加一条有利于被保险人的约定，加2分， 最多加10分。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bCs/>
                <w:sz w:val="21"/>
              </w:rPr>
              <w:t>(2)每增加一条限制被保险人的约定，扣2分，最多扣10分。</w:t>
            </w:r>
          </w:p>
        </w:tc>
      </w:tr>
      <w:tr w:rsidR="00CE3015" w:rsidRPr="007964E0" w:rsidTr="00EA5D64">
        <w:trPr>
          <w:trHeight w:val="146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553091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color w:val="FF0000"/>
                <w:sz w:val="21"/>
              </w:rPr>
            </w:pPr>
            <w:r w:rsidRPr="00553091">
              <w:rPr>
                <w:rFonts w:hAnsi="宋体" w:hint="eastAsia"/>
                <w:color w:val="FF0000"/>
                <w:sz w:val="21"/>
              </w:rPr>
              <w:t>履约能力（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>30</w:t>
            </w:r>
            <w:r w:rsidRPr="00553091">
              <w:rPr>
                <w:rFonts w:hAnsi="宋体" w:hint="eastAsia"/>
                <w:color w:val="FF0000"/>
                <w:sz w:val="21"/>
              </w:rPr>
              <w:t>分）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 xml:space="preserve">1.总公司2018年度平均核心偿付能力充足率（15分） 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 xml:space="preserve">（1）偿付能力充足率290%以上，得15分； 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>（2）偿付能力充足率260%-290%（含），得12分；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>（3）偿付能力充足率230%-260%（含），得10分；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>（4）偿付能力充足率200%-230%（含），得6分；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>（5）偿付能力充足率100%-200%（含），得3分</w:t>
            </w:r>
          </w:p>
          <w:p w:rsidR="00CE3015" w:rsidRPr="00161972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161972">
              <w:rPr>
                <w:rFonts w:hAnsi="宋体" w:hint="eastAsia"/>
                <w:color w:val="FF0000"/>
                <w:sz w:val="21"/>
              </w:rPr>
              <w:t>（6）无偿付能力报告或偿付能力充足率低于100%，得0分。</w:t>
            </w:r>
          </w:p>
          <w:p w:rsidR="00CE3015" w:rsidRPr="004464D4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4464D4">
              <w:rPr>
                <w:rFonts w:hAnsi="宋体" w:hint="eastAsia"/>
                <w:sz w:val="21"/>
              </w:rPr>
              <w:t>提供经第三方审计的 2018</w:t>
            </w:r>
            <w:r>
              <w:rPr>
                <w:rFonts w:hAnsi="宋体" w:hint="eastAsia"/>
                <w:sz w:val="21"/>
              </w:rPr>
              <w:t>年度</w:t>
            </w:r>
            <w:r w:rsidRPr="004464D4">
              <w:rPr>
                <w:rFonts w:hAnsi="宋体" w:hint="eastAsia"/>
                <w:sz w:val="21"/>
              </w:rPr>
              <w:t>财务报表</w:t>
            </w:r>
            <w:r w:rsidRPr="00161972">
              <w:rPr>
                <w:rFonts w:hAnsi="宋体" w:hint="eastAsia"/>
                <w:color w:val="FF0000"/>
                <w:sz w:val="21"/>
              </w:rPr>
              <w:t>及偿付能力报告复印件</w:t>
            </w:r>
            <w:r w:rsidRPr="004464D4">
              <w:rPr>
                <w:rFonts w:hAnsi="宋体" w:hint="eastAsia"/>
                <w:sz w:val="21"/>
              </w:rPr>
              <w:t>，未提供的不得分。（复印件加盖供应商公章）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2.在本市拥有自主办公职场。（5分）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（1）自有办公职场（须提供房产证等相应证件，复印件</w:t>
            </w:r>
            <w:proofErr w:type="gramStart"/>
            <w:r w:rsidRPr="007964E0">
              <w:rPr>
                <w:rFonts w:hAnsi="宋体" w:hint="eastAsia"/>
                <w:sz w:val="21"/>
              </w:rPr>
              <w:t>加供应</w:t>
            </w:r>
            <w:proofErr w:type="gramEnd"/>
            <w:r w:rsidRPr="007964E0">
              <w:rPr>
                <w:rFonts w:hAnsi="宋体" w:hint="eastAsia"/>
                <w:sz w:val="21"/>
              </w:rPr>
              <w:t>商盖章），得5分；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（2）租赁办公职场（须提供租房协议等相应证件，复印件</w:t>
            </w:r>
            <w:proofErr w:type="gramStart"/>
            <w:r w:rsidRPr="007964E0">
              <w:rPr>
                <w:rFonts w:hAnsi="宋体" w:hint="eastAsia"/>
                <w:sz w:val="21"/>
              </w:rPr>
              <w:t>加供应</w:t>
            </w:r>
            <w:proofErr w:type="gramEnd"/>
            <w:r w:rsidRPr="007964E0">
              <w:rPr>
                <w:rFonts w:hAnsi="宋体" w:hint="eastAsia"/>
                <w:sz w:val="21"/>
              </w:rPr>
              <w:t>商盖章），得3分；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（3）没有自主办公职场，不得分。</w:t>
            </w:r>
          </w:p>
          <w:p w:rsidR="00CE3015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 xml:space="preserve">3.承保经验（10分） </w:t>
            </w:r>
          </w:p>
          <w:p w:rsidR="00CE3015" w:rsidRPr="005E7B86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 w:cstheme="minorBidi"/>
                <w:color w:val="FF0000"/>
                <w:sz w:val="21"/>
              </w:rPr>
            </w:pP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上一个保险年度具有承保国内机场或类似项目业绩经验的，得0-10分；</w:t>
            </w:r>
          </w:p>
          <w:p w:rsidR="00CE3015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 w:cstheme="minorBidi"/>
                <w:color w:val="FF0000"/>
                <w:sz w:val="21"/>
              </w:rPr>
            </w:pP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承保标的价值1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亿元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以上的得10分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；</w:t>
            </w:r>
          </w:p>
          <w:p w:rsidR="00CE3015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 w:cstheme="minorBidi"/>
                <w:color w:val="FF0000"/>
                <w:sz w:val="21"/>
              </w:rPr>
            </w:pP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承保标的价值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8000万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-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1亿元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（含）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的得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7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分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；</w:t>
            </w:r>
          </w:p>
          <w:p w:rsidR="00CE3015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 w:cstheme="minorBidi"/>
                <w:color w:val="FF0000"/>
                <w:sz w:val="21"/>
              </w:rPr>
            </w:pP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承保标的价值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5000万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-8000万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（含）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的得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4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分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；</w:t>
            </w:r>
          </w:p>
          <w:p w:rsidR="00CE3015" w:rsidRDefault="00CE3015" w:rsidP="00EA5D64">
            <w:pPr>
              <w:pStyle w:val="a3"/>
              <w:snapToGrid w:val="0"/>
              <w:spacing w:line="360" w:lineRule="auto"/>
              <w:rPr>
                <w:rFonts w:asciiTheme="minorEastAsia" w:eastAsiaTheme="minorEastAsia" w:hAnsiTheme="minorEastAsia" w:cstheme="minorBidi"/>
                <w:color w:val="FF0000"/>
                <w:sz w:val="21"/>
              </w:rPr>
            </w:pP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承保标的价值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2000万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-5000万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元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（含）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的得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1</w:t>
            </w:r>
            <w:r w:rsidRPr="005E7B86"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分</w:t>
            </w:r>
            <w:r>
              <w:rPr>
                <w:rFonts w:asciiTheme="minorEastAsia" w:eastAsiaTheme="minorEastAsia" w:hAnsiTheme="minorEastAsia" w:cstheme="minorBidi" w:hint="eastAsia"/>
                <w:color w:val="FF0000"/>
                <w:sz w:val="21"/>
              </w:rPr>
              <w:t>；其余不得分。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5E7B8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注：提供保单或保险合同复印件加盖供应商公章。</w:t>
            </w:r>
          </w:p>
        </w:tc>
      </w:tr>
      <w:tr w:rsidR="00CE3015" w:rsidRPr="007964E0" w:rsidTr="00EA5D64">
        <w:trPr>
          <w:trHeight w:val="62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</w:p>
          <w:p w:rsidR="00CE3015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</w:p>
          <w:p w:rsidR="00CE3015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</w:p>
          <w:p w:rsidR="00CE3015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</w:p>
          <w:p w:rsidR="00CE3015" w:rsidRPr="007266E6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color w:val="FF0000"/>
                <w:sz w:val="21"/>
              </w:rPr>
            </w:pPr>
            <w:r w:rsidRPr="007266E6">
              <w:rPr>
                <w:rFonts w:hAnsi="宋体" w:hint="eastAsia"/>
                <w:color w:val="FF0000"/>
                <w:sz w:val="21"/>
              </w:rPr>
              <w:t>服务部分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 w:rsidRPr="007266E6">
              <w:rPr>
                <w:rFonts w:hAnsi="宋体" w:hint="eastAsia"/>
                <w:color w:val="FF0000"/>
                <w:sz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>30</w:t>
            </w:r>
            <w:r w:rsidRPr="007266E6">
              <w:rPr>
                <w:rFonts w:hAnsi="宋体" w:hint="eastAsia"/>
                <w:color w:val="FF0000"/>
                <w:sz w:val="21"/>
              </w:rPr>
              <w:t>分</w:t>
            </w:r>
            <w:r w:rsidRPr="007964E0">
              <w:rPr>
                <w:rFonts w:hAnsi="宋体" w:hint="eastAsia"/>
                <w:sz w:val="21"/>
              </w:rPr>
              <w:t>）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lastRenderedPageBreak/>
              <w:t>1.</w:t>
            </w:r>
            <w:r w:rsidRPr="007B4A20">
              <w:rPr>
                <w:rFonts w:hAnsi="宋体" w:hint="eastAsia"/>
                <w:color w:val="FF0000"/>
                <w:sz w:val="21"/>
              </w:rPr>
              <w:t>承保服务（</w:t>
            </w:r>
            <w:r w:rsidRPr="007B4A2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10</w:t>
            </w:r>
            <w:r w:rsidRPr="007B4A20">
              <w:rPr>
                <w:rFonts w:hAnsi="宋体" w:hint="eastAsia"/>
                <w:color w:val="FF0000"/>
                <w:sz w:val="21"/>
              </w:rPr>
              <w:t>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（1）成立专项服务组，得0-2分；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lastRenderedPageBreak/>
              <w:t>（2）服务小组由市公司副总以上领导担任组长，得0-2分；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（3）在扬州市各下辖县、市、区均有服务网点，得0-2分；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（需提供各下辖网点营业执照及经营保险业务许可证，下辖县市区包括：广陵、邗江、江都、高邮、仪征、宝应）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（4）愿意主动上门服务，承保服务工作具体、明确</w:t>
            </w:r>
            <w:r w:rsidRPr="007B4A20">
              <w:rPr>
                <w:rFonts w:hAnsi="宋体" w:hint="eastAsia"/>
                <w:color w:val="FF0000"/>
                <w:sz w:val="21"/>
              </w:rPr>
              <w:t>，得</w:t>
            </w:r>
            <w:r w:rsidRPr="007B4A2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0-4</w:t>
            </w:r>
            <w:r w:rsidRPr="007B4A20">
              <w:rPr>
                <w:rFonts w:hAnsi="宋体" w:hint="eastAsia"/>
                <w:color w:val="FF0000"/>
                <w:sz w:val="21"/>
              </w:rPr>
              <w:t>分。</w:t>
            </w:r>
          </w:p>
          <w:p w:rsidR="00CE3015" w:rsidRPr="007B4A2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color w:val="FF0000"/>
                <w:sz w:val="21"/>
              </w:rPr>
            </w:pPr>
            <w:r w:rsidRPr="007B4A20">
              <w:rPr>
                <w:rFonts w:hAnsi="宋体" w:hint="eastAsia"/>
                <w:color w:val="FF0000"/>
                <w:sz w:val="21"/>
              </w:rPr>
              <w:t>2.理赔服务（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>14</w:t>
            </w:r>
            <w:r w:rsidRPr="007B4A20">
              <w:rPr>
                <w:rFonts w:hAnsi="宋体" w:hint="eastAsia"/>
                <w:color w:val="FF0000"/>
                <w:sz w:val="21"/>
              </w:rPr>
              <w:t>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（1）24小时报案热线，建立理赔绿色通道，</w:t>
            </w:r>
            <w:r w:rsidRPr="00FF3ED4">
              <w:rPr>
                <w:rFonts w:hAnsi="宋体" w:hint="eastAsia"/>
                <w:color w:val="FF0000"/>
                <w:sz w:val="21"/>
              </w:rPr>
              <w:t>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（2）理赔专家组，有具体组成人员说明，</w:t>
            </w:r>
            <w:r w:rsidRPr="00FF3ED4">
              <w:rPr>
                <w:rFonts w:hAnsi="宋体" w:hint="eastAsia"/>
                <w:color w:val="FF0000"/>
                <w:sz w:val="21"/>
              </w:rPr>
              <w:t>得0-2分</w:t>
            </w:r>
            <w:r>
              <w:rPr>
                <w:rFonts w:hAnsi="宋体" w:hint="eastAsia"/>
                <w:color w:val="FF0000"/>
                <w:sz w:val="21"/>
              </w:rPr>
              <w:t>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（3）承诺赶赴事故现场</w:t>
            </w:r>
            <w:r w:rsidRPr="00DA2B9B">
              <w:rPr>
                <w:rFonts w:hAnsi="宋体" w:hint="eastAsia"/>
                <w:color w:val="FF0000"/>
                <w:sz w:val="21"/>
              </w:rPr>
              <w:t>时间</w:t>
            </w:r>
            <w:r w:rsidRPr="00DA2B9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0-2</w:t>
            </w:r>
            <w:r w:rsidRPr="00DA2B9B">
              <w:rPr>
                <w:rFonts w:hAnsi="宋体" w:hint="eastAsia"/>
                <w:color w:val="FF0000"/>
                <w:sz w:val="21"/>
              </w:rPr>
              <w:t>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（4）具体赔款</w:t>
            </w:r>
            <w:r w:rsidRPr="007B4A20">
              <w:rPr>
                <w:rFonts w:hAnsi="宋体" w:hint="eastAsia"/>
                <w:color w:val="FF0000"/>
                <w:sz w:val="21"/>
              </w:rPr>
              <w:t>时限得</w:t>
            </w:r>
            <w:r w:rsidRPr="007B4A2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0-3</w:t>
            </w:r>
            <w:r w:rsidRPr="007B4A20">
              <w:rPr>
                <w:rFonts w:hAnsi="宋体" w:hint="eastAsia"/>
                <w:color w:val="FF0000"/>
                <w:sz w:val="21"/>
              </w:rPr>
              <w:t>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（5）预付赔款制度</w:t>
            </w:r>
            <w:r w:rsidRPr="007B4A20">
              <w:rPr>
                <w:rFonts w:hAnsi="宋体" w:hint="eastAsia"/>
                <w:color w:val="FF0000"/>
                <w:sz w:val="21"/>
              </w:rPr>
              <w:t>，得</w:t>
            </w:r>
            <w:r w:rsidRPr="007B4A2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0-3</w:t>
            </w:r>
            <w:r w:rsidRPr="007B4A20">
              <w:rPr>
                <w:rFonts w:hAnsi="宋体" w:hint="eastAsia"/>
                <w:color w:val="FF0000"/>
                <w:sz w:val="21"/>
              </w:rPr>
              <w:t>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（6）常发案件、重大案件及纠纷案件理赔承诺</w:t>
            </w:r>
            <w:r w:rsidRPr="00FF3ED4">
              <w:rPr>
                <w:rFonts w:hAnsi="宋体" w:hint="eastAsia"/>
                <w:color w:val="FF0000"/>
                <w:sz w:val="21"/>
              </w:rPr>
              <w:t>（0-2分）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3.培训宣传服务</w:t>
            </w:r>
            <w:r w:rsidRPr="007A5077">
              <w:rPr>
                <w:rFonts w:hAnsi="宋体" w:hint="eastAsia"/>
                <w:color w:val="FF0000"/>
                <w:sz w:val="21"/>
              </w:rPr>
              <w:t>（4分）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（1）提供相关保险知识方面的培训，</w:t>
            </w:r>
            <w:r w:rsidRPr="007A5077">
              <w:rPr>
                <w:rFonts w:hAnsi="宋体" w:hint="eastAsia"/>
                <w:color w:val="FF0000"/>
                <w:sz w:val="21"/>
              </w:rPr>
              <w:t>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（2</w:t>
            </w:r>
            <w:r>
              <w:rPr>
                <w:rFonts w:hAnsi="宋体" w:hint="eastAsia"/>
                <w:sz w:val="21"/>
              </w:rPr>
              <w:t>）协助机场公司</w:t>
            </w:r>
            <w:r w:rsidRPr="007964E0">
              <w:rPr>
                <w:rFonts w:hAnsi="宋体" w:hint="eastAsia"/>
                <w:sz w:val="21"/>
              </w:rPr>
              <w:t>做好有关宣传工作，</w:t>
            </w:r>
            <w:r w:rsidRPr="007A5077">
              <w:rPr>
                <w:rFonts w:hAnsi="宋体" w:hint="eastAsia"/>
                <w:color w:val="FF0000"/>
                <w:sz w:val="21"/>
              </w:rPr>
              <w:t>得0-2分；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4.投标文件制作（1分）</w:t>
            </w:r>
          </w:p>
          <w:p w:rsidR="00CE3015" w:rsidRPr="007964E0" w:rsidRDefault="00CE3015" w:rsidP="00EA5D64">
            <w:pPr>
              <w:pStyle w:val="a3"/>
              <w:snapToGrid w:val="0"/>
              <w:spacing w:line="360" w:lineRule="auto"/>
              <w:rPr>
                <w:rFonts w:hAnsi="宋体"/>
                <w:sz w:val="21"/>
              </w:rPr>
            </w:pPr>
            <w:r w:rsidRPr="007964E0">
              <w:rPr>
                <w:rFonts w:hAnsi="宋体" w:hint="eastAsia"/>
                <w:sz w:val="21"/>
              </w:rPr>
              <w:t>5.响应态度评价（1分）</w:t>
            </w:r>
          </w:p>
        </w:tc>
      </w:tr>
    </w:tbl>
    <w:p w:rsidR="00CE3015" w:rsidRPr="0019131D" w:rsidRDefault="00CE3015" w:rsidP="00CE3015">
      <w:pPr>
        <w:spacing w:line="220" w:lineRule="atLeast"/>
        <w:rPr>
          <w:rFonts w:ascii="宋体" w:eastAsia="宋体" w:hAnsi="宋体" w:cs="Times New Roman"/>
          <w:sz w:val="24"/>
          <w:szCs w:val="24"/>
        </w:rPr>
      </w:pPr>
    </w:p>
    <w:p w:rsidR="00CE3015" w:rsidRPr="000B77CA" w:rsidRDefault="00CE3015" w:rsidP="00CE3015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E3015" w:rsidRPr="000B77CA" w:rsidRDefault="00CE3015" w:rsidP="00CE3015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E3015" w:rsidRDefault="00CE3015" w:rsidP="00CE3015">
      <w:pPr>
        <w:spacing w:line="220" w:lineRule="atLeast"/>
        <w:ind w:firstLineChars="1550" w:firstLine="3720"/>
        <w:rPr>
          <w:rFonts w:ascii="宋体" w:eastAsia="宋体" w:hAnsi="宋体" w:cs="Times New Roman"/>
          <w:sz w:val="24"/>
          <w:szCs w:val="24"/>
        </w:rPr>
      </w:pPr>
      <w:r w:rsidRPr="0019131D">
        <w:rPr>
          <w:rFonts w:ascii="宋体" w:eastAsia="宋体" w:hAnsi="宋体" w:cs="Times New Roman" w:hint="eastAsia"/>
          <w:sz w:val="24"/>
          <w:szCs w:val="24"/>
        </w:rPr>
        <w:t>扬州泰州国际机场投资建设有限责任公司</w:t>
      </w:r>
    </w:p>
    <w:p w:rsidR="00CE3015" w:rsidRDefault="00CE3015" w:rsidP="00CE3015">
      <w:pPr>
        <w:spacing w:line="220" w:lineRule="atLeast"/>
        <w:rPr>
          <w:rFonts w:ascii="宋体" w:eastAsia="宋体" w:hAnsi="宋体" w:cs="Times New Roman"/>
          <w:sz w:val="24"/>
          <w:szCs w:val="24"/>
        </w:rPr>
      </w:pPr>
      <w:r w:rsidRPr="0019131D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2019年8月</w:t>
      </w:r>
      <w:r w:rsidR="004F6774">
        <w:rPr>
          <w:rFonts w:ascii="宋体" w:eastAsia="宋体" w:hAnsi="宋体" w:cs="Times New Roman" w:hint="eastAsia"/>
          <w:sz w:val="24"/>
          <w:szCs w:val="24"/>
        </w:rPr>
        <w:t>23</w:t>
      </w:r>
      <w:r w:rsidRPr="0019131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p w:rsidR="00CE3015" w:rsidRPr="00401D18" w:rsidRDefault="00CE3015" w:rsidP="00287E87">
      <w:pPr>
        <w:spacing w:line="480" w:lineRule="auto"/>
        <w:rPr>
          <w:rFonts w:asciiTheme="minorEastAsia" w:eastAsiaTheme="minorEastAsia" w:hAnsiTheme="minorEastAsia"/>
        </w:rPr>
      </w:pPr>
    </w:p>
    <w:sectPr w:rsidR="00CE3015" w:rsidRPr="00401D18" w:rsidSect="00401D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0F" w:rsidRDefault="0068720F" w:rsidP="00E00704">
      <w:pPr>
        <w:spacing w:after="0"/>
      </w:pPr>
      <w:r>
        <w:separator/>
      </w:r>
    </w:p>
  </w:endnote>
  <w:endnote w:type="continuationSeparator" w:id="0">
    <w:p w:rsidR="0068720F" w:rsidRDefault="0068720F" w:rsidP="00E007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0F" w:rsidRDefault="0068720F" w:rsidP="00E00704">
      <w:pPr>
        <w:spacing w:after="0"/>
      </w:pPr>
      <w:r>
        <w:separator/>
      </w:r>
    </w:p>
  </w:footnote>
  <w:footnote w:type="continuationSeparator" w:id="0">
    <w:p w:rsidR="0068720F" w:rsidRDefault="0068720F" w:rsidP="00E007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A0D"/>
    <w:rsid w:val="00190558"/>
    <w:rsid w:val="002768FC"/>
    <w:rsid w:val="00287E87"/>
    <w:rsid w:val="002D482C"/>
    <w:rsid w:val="00323B43"/>
    <w:rsid w:val="00332E2B"/>
    <w:rsid w:val="003D37D8"/>
    <w:rsid w:val="003F3E05"/>
    <w:rsid w:val="00401D18"/>
    <w:rsid w:val="00426133"/>
    <w:rsid w:val="004358AB"/>
    <w:rsid w:val="004623F1"/>
    <w:rsid w:val="004F6774"/>
    <w:rsid w:val="005253FE"/>
    <w:rsid w:val="00556AC5"/>
    <w:rsid w:val="0068720F"/>
    <w:rsid w:val="006B7E28"/>
    <w:rsid w:val="007A00EE"/>
    <w:rsid w:val="008B7726"/>
    <w:rsid w:val="00953549"/>
    <w:rsid w:val="00A33621"/>
    <w:rsid w:val="00A57838"/>
    <w:rsid w:val="00AC68BB"/>
    <w:rsid w:val="00AF0AF7"/>
    <w:rsid w:val="00B1668C"/>
    <w:rsid w:val="00BC0CFD"/>
    <w:rsid w:val="00CE3015"/>
    <w:rsid w:val="00D31D50"/>
    <w:rsid w:val="00DC445E"/>
    <w:rsid w:val="00DD568F"/>
    <w:rsid w:val="00E00704"/>
    <w:rsid w:val="00E54F80"/>
    <w:rsid w:val="00E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,纯文本 Char Char Char"/>
    <w:link w:val="a3"/>
    <w:qFormat/>
    <w:rsid w:val="00CE3015"/>
    <w:rPr>
      <w:rFonts w:ascii="宋体" w:eastAsia="宋体" w:hAnsi="Courier New" w:cs="Times New Roman"/>
      <w:szCs w:val="21"/>
    </w:rPr>
  </w:style>
  <w:style w:type="paragraph" w:styleId="a3">
    <w:name w:val="Plain Text"/>
    <w:aliases w:val="普通文字 Char,纯文本 Char Char"/>
    <w:basedOn w:val="a"/>
    <w:link w:val="Char"/>
    <w:qFormat/>
    <w:rsid w:val="00CE301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CE3015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E007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0704"/>
    <w:rPr>
      <w:rFonts w:ascii="Tahoma" w:hAnsi="Tahoma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007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0070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24</cp:revision>
  <dcterms:created xsi:type="dcterms:W3CDTF">2008-09-11T17:20:00Z</dcterms:created>
  <dcterms:modified xsi:type="dcterms:W3CDTF">2019-08-23T06:33:00Z</dcterms:modified>
</cp:coreProperties>
</file>